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50439" w14:textId="77777777" w:rsidR="005604DE" w:rsidRPr="005604DE" w:rsidRDefault="005604DE" w:rsidP="005604DE">
      <w:pPr>
        <w:spacing w:after="160" w:line="240" w:lineRule="auto"/>
        <w:jc w:val="both"/>
        <w:rPr>
          <w:rFonts w:eastAsia="Calibri" w:cs="Times New Roman"/>
        </w:rPr>
      </w:pPr>
      <w:r w:rsidRPr="005604DE">
        <w:rPr>
          <w:rFonts w:eastAsia="Calibri" w:cs="Times New Roman"/>
          <w:noProof/>
        </w:rPr>
        <w:drawing>
          <wp:inline distT="0" distB="0" distL="0" distR="0" wp14:anchorId="0BBC3E3E" wp14:editId="05D17A80">
            <wp:extent cx="4248150" cy="1041400"/>
            <wp:effectExtent l="0" t="0" r="0" b="6350"/>
            <wp:docPr id="4" name="Picture 4" descr="Official seal and logo lockup of the United States Office of Personnel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 seal and logo lockup of the United States Office of Personnel Manag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48150" cy="1041400"/>
                    </a:xfrm>
                    <a:prstGeom prst="rect">
                      <a:avLst/>
                    </a:prstGeom>
                    <a:noFill/>
                    <a:ln>
                      <a:noFill/>
                    </a:ln>
                  </pic:spPr>
                </pic:pic>
              </a:graphicData>
            </a:graphic>
          </wp:inline>
        </w:drawing>
      </w:r>
    </w:p>
    <w:p w14:paraId="5C0FE3B5" w14:textId="2F6B53FD" w:rsidR="005604DE" w:rsidRPr="005604DE" w:rsidRDefault="005604DE" w:rsidP="00CE3834">
      <w:pPr>
        <w:spacing w:before="1440" w:after="120" w:line="240" w:lineRule="auto"/>
        <w:ind w:left="1440"/>
        <w:rPr>
          <w:rFonts w:ascii="Source Sans Pro" w:eastAsia="Times New Roman" w:hAnsi="Source Sans Pro" w:cs="Times New Roman"/>
          <w:color w:val="093453"/>
          <w:spacing w:val="-10"/>
          <w:kern w:val="28"/>
          <w:sz w:val="48"/>
          <w:szCs w:val="48"/>
        </w:rPr>
      </w:pPr>
      <w:r w:rsidRPr="005604DE">
        <w:rPr>
          <w:rFonts w:ascii="Source Sans Pro" w:eastAsia="Times New Roman" w:hAnsi="Source Sans Pro" w:cs="Times New Roman"/>
          <w:color w:val="093453"/>
          <w:spacing w:val="-10"/>
          <w:kern w:val="28"/>
          <w:sz w:val="48"/>
          <w:szCs w:val="48"/>
        </w:rPr>
        <w:t>Office of Personnel Management</w:t>
      </w:r>
      <w:r w:rsidR="005E0ACB">
        <w:rPr>
          <w:rFonts w:ascii="Source Sans Pro" w:eastAsia="Times New Roman" w:hAnsi="Source Sans Pro" w:cs="Times New Roman"/>
          <w:color w:val="093453"/>
          <w:spacing w:val="-10"/>
          <w:kern w:val="28"/>
          <w:sz w:val="48"/>
          <w:szCs w:val="48"/>
        </w:rPr>
        <w:t xml:space="preserve">  </w:t>
      </w:r>
    </w:p>
    <w:p w14:paraId="689F9142" w14:textId="5309F6AB" w:rsidR="005604DE" w:rsidRPr="005604DE" w:rsidRDefault="005604DE" w:rsidP="006068E4">
      <w:pPr>
        <w:spacing w:before="240" w:after="0"/>
        <w:ind w:left="1440"/>
        <w:rPr>
          <w:rFonts w:ascii="Source Sans Pro" w:eastAsia="Times New Roman" w:hAnsi="Source Sans Pro" w:cs="Times New Roman"/>
          <w:b/>
          <w:color w:val="D13138"/>
          <w:spacing w:val="-10"/>
          <w:sz w:val="40"/>
        </w:rPr>
      </w:pPr>
      <w:r w:rsidRPr="005604DE">
        <w:rPr>
          <w:rFonts w:ascii="Source Sans Pro" w:eastAsia="Times New Roman" w:hAnsi="Source Sans Pro" w:cs="Times New Roman"/>
          <w:b/>
          <w:color w:val="D13138"/>
          <w:spacing w:val="-10"/>
          <w:sz w:val="40"/>
        </w:rPr>
        <w:t>Suitability Executive Agent Programs</w:t>
      </w:r>
      <w:r w:rsidR="00DA4258">
        <w:rPr>
          <w:rFonts w:ascii="Source Sans Pro" w:eastAsia="Times New Roman" w:hAnsi="Source Sans Pro" w:cs="Times New Roman"/>
          <w:b/>
          <w:color w:val="D13138"/>
          <w:spacing w:val="-10"/>
          <w:sz w:val="40"/>
        </w:rPr>
        <w:t xml:space="preserve"> (SuitEA)</w:t>
      </w:r>
      <w:r w:rsidR="00102E9B">
        <w:rPr>
          <w:rFonts w:ascii="Source Sans Pro" w:eastAsia="Times New Roman" w:hAnsi="Source Sans Pro" w:cs="Times New Roman"/>
          <w:b/>
          <w:color w:val="D13138"/>
          <w:spacing w:val="-10"/>
          <w:sz w:val="40"/>
        </w:rPr>
        <w:br/>
      </w:r>
    </w:p>
    <w:p w14:paraId="7A78848B" w14:textId="636F9BEB" w:rsidR="005604DE" w:rsidRPr="00102E9B" w:rsidRDefault="005604DE" w:rsidP="00CE3834">
      <w:pPr>
        <w:ind w:left="1440"/>
        <w:rPr>
          <w:rFonts w:ascii="Source Sans Pro" w:hAnsi="Source Sans Pro"/>
          <w:b/>
          <w:color w:val="4472C4" w:themeColor="accent1"/>
          <w:sz w:val="44"/>
          <w:szCs w:val="44"/>
        </w:rPr>
      </w:pPr>
      <w:r w:rsidRPr="00102E9B">
        <w:rPr>
          <w:rFonts w:ascii="Source Sans Pro" w:hAnsi="Source Sans Pro"/>
          <w:b/>
          <w:color w:val="4472C4" w:themeColor="accent1"/>
          <w:sz w:val="44"/>
          <w:szCs w:val="44"/>
        </w:rPr>
        <w:t xml:space="preserve">Suitability </w:t>
      </w:r>
      <w:r w:rsidR="00C31DC4" w:rsidRPr="00102E9B">
        <w:rPr>
          <w:rFonts w:ascii="Source Sans Pro" w:hAnsi="Source Sans Pro"/>
          <w:b/>
          <w:color w:val="4472C4" w:themeColor="accent1"/>
          <w:sz w:val="44"/>
          <w:szCs w:val="44"/>
        </w:rPr>
        <w:t>and Fitness</w:t>
      </w:r>
      <w:r w:rsidRPr="00102E9B">
        <w:rPr>
          <w:rFonts w:ascii="Source Sans Pro" w:hAnsi="Source Sans Pro"/>
          <w:b/>
          <w:color w:val="4472C4" w:themeColor="accent1"/>
          <w:sz w:val="44"/>
          <w:szCs w:val="44"/>
        </w:rPr>
        <w:t xml:space="preserve"> </w:t>
      </w:r>
      <w:r w:rsidR="008F1807" w:rsidRPr="00102E9B">
        <w:rPr>
          <w:rFonts w:ascii="Source Sans Pro" w:hAnsi="Source Sans Pro"/>
          <w:b/>
          <w:color w:val="4472C4" w:themeColor="accent1"/>
          <w:sz w:val="44"/>
          <w:szCs w:val="44"/>
        </w:rPr>
        <w:t>Processing Manual</w:t>
      </w:r>
      <w:r w:rsidRPr="00102E9B">
        <w:rPr>
          <w:rFonts w:ascii="Source Sans Pro" w:hAnsi="Source Sans Pro"/>
          <w:b/>
          <w:color w:val="4472C4" w:themeColor="accent1"/>
          <w:sz w:val="44"/>
          <w:szCs w:val="44"/>
        </w:rPr>
        <w:t xml:space="preserve"> </w:t>
      </w:r>
    </w:p>
    <w:p w14:paraId="73375DD6" w14:textId="56857C57" w:rsidR="00B404BD" w:rsidRDefault="00A00FAE" w:rsidP="006068E4">
      <w:pPr>
        <w:ind w:left="1440"/>
      </w:pPr>
      <w:r w:rsidRPr="00A00FAE">
        <w:t xml:space="preserve">This </w:t>
      </w:r>
      <w:r w:rsidR="008F1807">
        <w:t>manual provides implementing guidance to title 5, Code of Federal Regulations part 731</w:t>
      </w:r>
      <w:r w:rsidR="00B404BD">
        <w:t xml:space="preserve"> (5 C</w:t>
      </w:r>
      <w:r w:rsidR="004878C1">
        <w:t>.</w:t>
      </w:r>
      <w:r w:rsidR="00B404BD">
        <w:t>F</w:t>
      </w:r>
      <w:r w:rsidR="004878C1">
        <w:t>.</w:t>
      </w:r>
      <w:r w:rsidR="00B404BD">
        <w:t>R</w:t>
      </w:r>
      <w:r w:rsidR="004878C1">
        <w:t>.</w:t>
      </w:r>
      <w:r w:rsidR="00B404BD">
        <w:t xml:space="preserve"> </w:t>
      </w:r>
      <w:r w:rsidR="004878C1">
        <w:t>part</w:t>
      </w:r>
      <w:r w:rsidR="282F4385">
        <w:t xml:space="preserve"> </w:t>
      </w:r>
      <w:r w:rsidR="00B404BD">
        <w:t>731)</w:t>
      </w:r>
      <w:r w:rsidR="008F1807">
        <w:t xml:space="preserve">, </w:t>
      </w:r>
      <w:r w:rsidR="008F1807">
        <w:rPr>
          <w:i/>
          <w:iCs/>
        </w:rPr>
        <w:t xml:space="preserve">Suitability and Fitness, </w:t>
      </w:r>
      <w:r w:rsidR="008F1807">
        <w:t>which establishes requirements for position designation</w:t>
      </w:r>
      <w:r w:rsidR="00B404BD">
        <w:t>;</w:t>
      </w:r>
      <w:r w:rsidR="008F1807">
        <w:t xml:space="preserve"> reciprocity</w:t>
      </w:r>
      <w:r w:rsidR="00B404BD">
        <w:t>;</w:t>
      </w:r>
      <w:r w:rsidR="008F1807">
        <w:t xml:space="preserve"> investigations, including continuous vetting</w:t>
      </w:r>
      <w:r w:rsidR="00B404BD">
        <w:t>;</w:t>
      </w:r>
      <w:r w:rsidR="008F1807">
        <w:t xml:space="preserve"> criteria for making suitability and fitness determinations</w:t>
      </w:r>
      <w:r w:rsidR="00B404BD">
        <w:t>;</w:t>
      </w:r>
      <w:r w:rsidR="008F1807">
        <w:t xml:space="preserve"> and procedures for taking suitability actions. </w:t>
      </w:r>
    </w:p>
    <w:p w14:paraId="1F071840" w14:textId="63983F06" w:rsidR="00A00FAE" w:rsidRPr="00A00FAE" w:rsidRDefault="00B404BD" w:rsidP="006068E4">
      <w:pPr>
        <w:ind w:left="1440"/>
      </w:pPr>
      <w:r>
        <w:t>Unless noted otherwise, agencies must consult OPM on approval for exceptions to the requirements set for</w:t>
      </w:r>
      <w:r w:rsidR="00415C86">
        <w:t>th</w:t>
      </w:r>
      <w:r>
        <w:t xml:space="preserve"> in 5 C</w:t>
      </w:r>
      <w:r w:rsidR="004878C1">
        <w:t>.</w:t>
      </w:r>
      <w:r>
        <w:t>F</w:t>
      </w:r>
      <w:r w:rsidR="004878C1">
        <w:t>.</w:t>
      </w:r>
      <w:r>
        <w:t>R</w:t>
      </w:r>
      <w:r w:rsidR="004878C1">
        <w:t>.</w:t>
      </w:r>
      <w:r>
        <w:t xml:space="preserve"> </w:t>
      </w:r>
      <w:r w:rsidR="004878C1">
        <w:t>part</w:t>
      </w:r>
      <w:r w:rsidR="2C75911D" w:rsidRPr="548D0660">
        <w:rPr>
          <w:rFonts w:eastAsia="Times New Roman" w:cs="Times New Roman"/>
          <w:color w:val="000000" w:themeColor="text1"/>
        </w:rPr>
        <w:t xml:space="preserve"> </w:t>
      </w:r>
      <w:r>
        <w:t>731 and this Manual</w:t>
      </w:r>
      <w:r w:rsidR="008F1807">
        <w:t>.</w:t>
      </w:r>
      <w:r w:rsidR="00A00FAE" w:rsidRPr="00A00FAE">
        <w:t xml:space="preserve"> </w:t>
      </w:r>
    </w:p>
    <w:p w14:paraId="2D32AA4E" w14:textId="45320B48" w:rsidR="005604DE" w:rsidRPr="00E55A54" w:rsidRDefault="005604DE" w:rsidP="006068E4">
      <w:pPr>
        <w:ind w:left="1440"/>
        <w:rPr>
          <w:rFonts w:ascii="Source Sans Pro" w:eastAsia="Calibri" w:hAnsi="Source Sans Pro" w:cs="Sans Serif Collection"/>
          <w:b/>
        </w:rPr>
      </w:pPr>
      <w:r w:rsidRPr="00E55A54">
        <w:rPr>
          <w:rFonts w:ascii="Source Sans Pro" w:eastAsia="Calibri" w:hAnsi="Source Sans Pro" w:cs="Sans Serif Collection"/>
          <w:b/>
        </w:rPr>
        <w:t>Effective:</w:t>
      </w:r>
      <w:r w:rsidR="008F1807" w:rsidRPr="00E55A54">
        <w:rPr>
          <w:rFonts w:ascii="Source Sans Pro" w:eastAsia="Calibri" w:hAnsi="Source Sans Pro" w:cs="Sans Serif Collection"/>
          <w:b/>
        </w:rPr>
        <w:t xml:space="preserve"> </w:t>
      </w:r>
      <w:r w:rsidRPr="00E55A54">
        <w:rPr>
          <w:rFonts w:ascii="Source Sans Pro" w:eastAsia="Calibri" w:hAnsi="Source Sans Pro" w:cs="Sans Serif Collection"/>
          <w:b/>
        </w:rPr>
        <w:t xml:space="preserve"> </w:t>
      </w:r>
      <w:r w:rsidR="008F1807" w:rsidRPr="00E55A54">
        <w:rPr>
          <w:rFonts w:ascii="Source Sans Pro" w:eastAsia="Calibri" w:hAnsi="Source Sans Pro" w:cs="Sans Serif Collection"/>
          <w:b/>
        </w:rPr>
        <w:t xml:space="preserve">January </w:t>
      </w:r>
      <w:r w:rsidRPr="00E55A54">
        <w:rPr>
          <w:rFonts w:ascii="Source Sans Pro" w:eastAsia="Calibri" w:hAnsi="Source Sans Pro" w:cs="Sans Serif Collection"/>
          <w:b/>
        </w:rPr>
        <w:t>202</w:t>
      </w:r>
      <w:r w:rsidR="00E774BF" w:rsidRPr="00E55A54">
        <w:rPr>
          <w:rFonts w:ascii="Source Sans Pro" w:eastAsia="Calibri" w:hAnsi="Source Sans Pro" w:cs="Sans Serif Collection"/>
          <w:b/>
        </w:rPr>
        <w:t>5</w:t>
      </w:r>
    </w:p>
    <w:p w14:paraId="4364346E" w14:textId="77777777" w:rsidR="00A52D3A" w:rsidRDefault="00A52D3A" w:rsidP="005604DE">
      <w:pPr>
        <w:spacing w:after="160" w:line="240" w:lineRule="auto"/>
        <w:ind w:left="2520"/>
        <w:rPr>
          <w:rFonts w:eastAsia="Calibri" w:cs="Times New Roman"/>
          <w:b/>
          <w:bCs/>
        </w:rPr>
      </w:pPr>
    </w:p>
    <w:p w14:paraId="2769C097" w14:textId="704BA1C4" w:rsidR="00A52D3A" w:rsidRDefault="008F1807" w:rsidP="00AF7559">
      <w:pPr>
        <w:spacing w:after="160" w:line="259" w:lineRule="auto"/>
        <w:rPr>
          <w:rFonts w:eastAsia="Calibri" w:cs="Times New Roman"/>
          <w:b/>
          <w:bCs/>
        </w:rPr>
      </w:pPr>
      <w:r>
        <w:rPr>
          <w:rFonts w:eastAsia="Calibri" w:cs="Times New Roman"/>
          <w:b/>
          <w:bCs/>
        </w:rPr>
        <w:br w:type="page"/>
      </w:r>
    </w:p>
    <w:sdt>
      <w:sdtPr>
        <w:rPr>
          <w:rFonts w:ascii="Source Sans Pro" w:hAnsi="Source Sans Pro"/>
        </w:rPr>
        <w:id w:val="1889034996"/>
        <w:docPartObj>
          <w:docPartGallery w:val="Table of Contents"/>
          <w:docPartUnique/>
        </w:docPartObj>
      </w:sdtPr>
      <w:sdtEndPr/>
      <w:sdtContent>
        <w:p w14:paraId="70FDD527" w14:textId="6AD00353" w:rsidR="009803D3" w:rsidRPr="008501FA" w:rsidRDefault="009803D3" w:rsidP="36A80A07">
          <w:pPr>
            <w:rPr>
              <w:rFonts w:ascii="Source Sans Pro" w:hAnsi="Source Sans Pro"/>
              <w:b/>
              <w:bCs/>
              <w:color w:val="4472C4" w:themeColor="accent1"/>
              <w:sz w:val="40"/>
              <w:szCs w:val="40"/>
            </w:rPr>
          </w:pPr>
          <w:r w:rsidRPr="36A80A07">
            <w:rPr>
              <w:rFonts w:ascii="Source Sans Pro" w:hAnsi="Source Sans Pro"/>
              <w:b/>
              <w:bCs/>
              <w:color w:val="4472C4" w:themeColor="accent1"/>
              <w:sz w:val="40"/>
              <w:szCs w:val="40"/>
            </w:rPr>
            <w:t>Table of Contents</w:t>
          </w:r>
        </w:p>
        <w:p w14:paraId="1CA7FBB1" w14:textId="77CDCCD0" w:rsidR="008F10C7" w:rsidRDefault="00072BDA">
          <w:pPr>
            <w:pStyle w:val="TOC1"/>
            <w:tabs>
              <w:tab w:val="right" w:leader="dot" w:pos="9350"/>
            </w:tabs>
            <w:rPr>
              <w:rFonts w:asciiTheme="minorHAnsi" w:eastAsiaTheme="minorEastAsia" w:hAnsiTheme="minorHAnsi"/>
              <w:b w:val="0"/>
              <w:noProof/>
              <w:spacing w:val="0"/>
              <w:kern w:val="2"/>
              <w14:ligatures w14:val="standardContextual"/>
            </w:rPr>
          </w:pPr>
          <w:r>
            <w:fldChar w:fldCharType="begin"/>
          </w:r>
          <w:r w:rsidR="00365440">
            <w:instrText>TOC \o "1-3" \z \u \h</w:instrText>
          </w:r>
          <w:r>
            <w:fldChar w:fldCharType="separate"/>
          </w:r>
          <w:hyperlink w:anchor="_Toc187924123" w:history="1">
            <w:r w:rsidR="008F10C7" w:rsidRPr="00A8261A">
              <w:rPr>
                <w:rStyle w:val="Hyperlink"/>
                <w:noProof/>
              </w:rPr>
              <w:t>Preamble</w:t>
            </w:r>
            <w:r w:rsidR="008F10C7">
              <w:rPr>
                <w:noProof/>
                <w:webHidden/>
              </w:rPr>
              <w:tab/>
            </w:r>
            <w:r w:rsidR="008F10C7">
              <w:rPr>
                <w:noProof/>
                <w:webHidden/>
              </w:rPr>
              <w:fldChar w:fldCharType="begin"/>
            </w:r>
            <w:r w:rsidR="008F10C7">
              <w:rPr>
                <w:noProof/>
                <w:webHidden/>
              </w:rPr>
              <w:instrText xml:space="preserve"> PAGEREF _Toc187924123 \h </w:instrText>
            </w:r>
            <w:r w:rsidR="008F10C7">
              <w:rPr>
                <w:noProof/>
                <w:webHidden/>
              </w:rPr>
            </w:r>
            <w:r w:rsidR="008F10C7">
              <w:rPr>
                <w:noProof/>
                <w:webHidden/>
              </w:rPr>
              <w:fldChar w:fldCharType="separate"/>
            </w:r>
            <w:r w:rsidR="008F10C7">
              <w:rPr>
                <w:noProof/>
                <w:webHidden/>
              </w:rPr>
              <w:t>5</w:t>
            </w:r>
            <w:r w:rsidR="008F10C7">
              <w:rPr>
                <w:noProof/>
                <w:webHidden/>
              </w:rPr>
              <w:fldChar w:fldCharType="end"/>
            </w:r>
          </w:hyperlink>
        </w:p>
        <w:p w14:paraId="736F7BBB" w14:textId="7DDAE960" w:rsidR="008F10C7" w:rsidRDefault="005E0ACB">
          <w:pPr>
            <w:pStyle w:val="TOC1"/>
            <w:tabs>
              <w:tab w:val="right" w:leader="dot" w:pos="9350"/>
            </w:tabs>
            <w:rPr>
              <w:rFonts w:asciiTheme="minorHAnsi" w:eastAsiaTheme="minorEastAsia" w:hAnsiTheme="minorHAnsi"/>
              <w:b w:val="0"/>
              <w:noProof/>
              <w:spacing w:val="0"/>
              <w:kern w:val="2"/>
              <w14:ligatures w14:val="standardContextual"/>
            </w:rPr>
          </w:pPr>
          <w:hyperlink w:anchor="_Toc187924124" w:history="1">
            <w:r w:rsidR="008F10C7" w:rsidRPr="00A8261A">
              <w:rPr>
                <w:rStyle w:val="Hyperlink"/>
                <w:noProof/>
              </w:rPr>
              <w:t>Relevant Authorities: Suitability and Fitness</w:t>
            </w:r>
            <w:r w:rsidR="008F10C7">
              <w:rPr>
                <w:noProof/>
                <w:webHidden/>
              </w:rPr>
              <w:tab/>
            </w:r>
            <w:r w:rsidR="008F10C7">
              <w:rPr>
                <w:noProof/>
                <w:webHidden/>
              </w:rPr>
              <w:fldChar w:fldCharType="begin"/>
            </w:r>
            <w:r w:rsidR="008F10C7">
              <w:rPr>
                <w:noProof/>
                <w:webHidden/>
              </w:rPr>
              <w:instrText xml:space="preserve"> PAGEREF _Toc187924124 \h </w:instrText>
            </w:r>
            <w:r w:rsidR="008F10C7">
              <w:rPr>
                <w:noProof/>
                <w:webHidden/>
              </w:rPr>
            </w:r>
            <w:r w:rsidR="008F10C7">
              <w:rPr>
                <w:noProof/>
                <w:webHidden/>
              </w:rPr>
              <w:fldChar w:fldCharType="separate"/>
            </w:r>
            <w:r w:rsidR="008F10C7">
              <w:rPr>
                <w:noProof/>
                <w:webHidden/>
              </w:rPr>
              <w:t>8</w:t>
            </w:r>
            <w:r w:rsidR="008F10C7">
              <w:rPr>
                <w:noProof/>
                <w:webHidden/>
              </w:rPr>
              <w:fldChar w:fldCharType="end"/>
            </w:r>
          </w:hyperlink>
        </w:p>
        <w:p w14:paraId="16EAAB40" w14:textId="2A936A2C" w:rsidR="008F10C7" w:rsidRDefault="005E0ACB">
          <w:pPr>
            <w:pStyle w:val="TOC1"/>
            <w:tabs>
              <w:tab w:val="right" w:leader="dot" w:pos="9350"/>
            </w:tabs>
            <w:rPr>
              <w:rFonts w:asciiTheme="minorHAnsi" w:eastAsiaTheme="minorEastAsia" w:hAnsiTheme="minorHAnsi"/>
              <w:b w:val="0"/>
              <w:noProof/>
              <w:spacing w:val="0"/>
              <w:kern w:val="2"/>
              <w14:ligatures w14:val="standardContextual"/>
            </w:rPr>
          </w:pPr>
          <w:hyperlink w:anchor="_Toc187924125" w:history="1">
            <w:r w:rsidR="008F10C7" w:rsidRPr="00A8261A">
              <w:rPr>
                <w:rStyle w:val="Hyperlink"/>
                <w:noProof/>
              </w:rPr>
              <w:t>Glossary</w:t>
            </w:r>
            <w:r w:rsidR="008F10C7">
              <w:rPr>
                <w:noProof/>
                <w:webHidden/>
              </w:rPr>
              <w:tab/>
            </w:r>
            <w:r w:rsidR="008F10C7">
              <w:rPr>
                <w:noProof/>
                <w:webHidden/>
              </w:rPr>
              <w:fldChar w:fldCharType="begin"/>
            </w:r>
            <w:r w:rsidR="008F10C7">
              <w:rPr>
                <w:noProof/>
                <w:webHidden/>
              </w:rPr>
              <w:instrText xml:space="preserve"> PAGEREF _Toc187924125 \h </w:instrText>
            </w:r>
            <w:r w:rsidR="008F10C7">
              <w:rPr>
                <w:noProof/>
                <w:webHidden/>
              </w:rPr>
            </w:r>
            <w:r w:rsidR="008F10C7">
              <w:rPr>
                <w:noProof/>
                <w:webHidden/>
              </w:rPr>
              <w:fldChar w:fldCharType="separate"/>
            </w:r>
            <w:r w:rsidR="008F10C7">
              <w:rPr>
                <w:noProof/>
                <w:webHidden/>
              </w:rPr>
              <w:t>10</w:t>
            </w:r>
            <w:r w:rsidR="008F10C7">
              <w:rPr>
                <w:noProof/>
                <w:webHidden/>
              </w:rPr>
              <w:fldChar w:fldCharType="end"/>
            </w:r>
          </w:hyperlink>
        </w:p>
        <w:p w14:paraId="43B86288" w14:textId="4EEF883E" w:rsidR="008F10C7" w:rsidRDefault="005E0ACB">
          <w:pPr>
            <w:pStyle w:val="TOC1"/>
            <w:tabs>
              <w:tab w:val="right" w:leader="dot" w:pos="9350"/>
            </w:tabs>
            <w:rPr>
              <w:rFonts w:asciiTheme="minorHAnsi" w:eastAsiaTheme="minorEastAsia" w:hAnsiTheme="minorHAnsi"/>
              <w:b w:val="0"/>
              <w:noProof/>
              <w:spacing w:val="0"/>
              <w:kern w:val="2"/>
              <w14:ligatures w14:val="standardContextual"/>
            </w:rPr>
          </w:pPr>
          <w:hyperlink w:anchor="_Toc187924126" w:history="1">
            <w:r w:rsidR="008F10C7" w:rsidRPr="00A8261A">
              <w:rPr>
                <w:rStyle w:val="Hyperlink"/>
                <w:noProof/>
              </w:rPr>
              <w:t>Volume 1:  Position Designation, Reciprocity, and Individual Engagement</w:t>
            </w:r>
            <w:r w:rsidR="008F10C7">
              <w:rPr>
                <w:noProof/>
                <w:webHidden/>
              </w:rPr>
              <w:tab/>
            </w:r>
            <w:r w:rsidR="008F10C7">
              <w:rPr>
                <w:noProof/>
                <w:webHidden/>
              </w:rPr>
              <w:fldChar w:fldCharType="begin"/>
            </w:r>
            <w:r w:rsidR="008F10C7">
              <w:rPr>
                <w:noProof/>
                <w:webHidden/>
              </w:rPr>
              <w:instrText xml:space="preserve"> PAGEREF _Toc187924126 \h </w:instrText>
            </w:r>
            <w:r w:rsidR="008F10C7">
              <w:rPr>
                <w:noProof/>
                <w:webHidden/>
              </w:rPr>
            </w:r>
            <w:r w:rsidR="008F10C7">
              <w:rPr>
                <w:noProof/>
                <w:webHidden/>
              </w:rPr>
              <w:fldChar w:fldCharType="separate"/>
            </w:r>
            <w:r w:rsidR="008F10C7">
              <w:rPr>
                <w:noProof/>
                <w:webHidden/>
              </w:rPr>
              <w:t>17</w:t>
            </w:r>
            <w:r w:rsidR="008F10C7">
              <w:rPr>
                <w:noProof/>
                <w:webHidden/>
              </w:rPr>
              <w:fldChar w:fldCharType="end"/>
            </w:r>
          </w:hyperlink>
        </w:p>
        <w:p w14:paraId="13A8E2A9" w14:textId="68D16753" w:rsidR="008F10C7" w:rsidRDefault="005E0ACB">
          <w:pPr>
            <w:pStyle w:val="TOC2"/>
            <w:rPr>
              <w:rFonts w:asciiTheme="minorHAnsi" w:eastAsiaTheme="minorEastAsia" w:hAnsiTheme="minorHAnsi"/>
              <w:noProof/>
              <w:spacing w:val="0"/>
              <w:kern w:val="2"/>
              <w14:ligatures w14:val="standardContextual"/>
            </w:rPr>
          </w:pPr>
          <w:hyperlink w:anchor="_Toc187924127" w:history="1">
            <w:r w:rsidR="008F10C7" w:rsidRPr="00A8261A">
              <w:rPr>
                <w:rStyle w:val="Hyperlink"/>
                <w:noProof/>
              </w:rPr>
              <w:t>1.1 – Vetting Overview</w:t>
            </w:r>
            <w:r w:rsidR="008F10C7">
              <w:rPr>
                <w:noProof/>
                <w:webHidden/>
              </w:rPr>
              <w:tab/>
            </w:r>
            <w:r w:rsidR="008F10C7">
              <w:rPr>
                <w:noProof/>
                <w:webHidden/>
              </w:rPr>
              <w:fldChar w:fldCharType="begin"/>
            </w:r>
            <w:r w:rsidR="008F10C7">
              <w:rPr>
                <w:noProof/>
                <w:webHidden/>
              </w:rPr>
              <w:instrText xml:space="preserve"> PAGEREF _Toc187924127 \h </w:instrText>
            </w:r>
            <w:r w:rsidR="008F10C7">
              <w:rPr>
                <w:noProof/>
                <w:webHidden/>
              </w:rPr>
            </w:r>
            <w:r w:rsidR="008F10C7">
              <w:rPr>
                <w:noProof/>
                <w:webHidden/>
              </w:rPr>
              <w:fldChar w:fldCharType="separate"/>
            </w:r>
            <w:r w:rsidR="008F10C7">
              <w:rPr>
                <w:noProof/>
                <w:webHidden/>
              </w:rPr>
              <w:t>18</w:t>
            </w:r>
            <w:r w:rsidR="008F10C7">
              <w:rPr>
                <w:noProof/>
                <w:webHidden/>
              </w:rPr>
              <w:fldChar w:fldCharType="end"/>
            </w:r>
          </w:hyperlink>
        </w:p>
        <w:p w14:paraId="510C2C69" w14:textId="564C6F61" w:rsidR="008F10C7" w:rsidRDefault="005E0ACB">
          <w:pPr>
            <w:pStyle w:val="TOC2"/>
            <w:rPr>
              <w:rFonts w:asciiTheme="minorHAnsi" w:eastAsiaTheme="minorEastAsia" w:hAnsiTheme="minorHAnsi"/>
              <w:noProof/>
              <w:spacing w:val="0"/>
              <w:kern w:val="2"/>
              <w14:ligatures w14:val="standardContextual"/>
            </w:rPr>
          </w:pPr>
          <w:hyperlink w:anchor="_Toc187924128" w:history="1">
            <w:r w:rsidR="008F10C7" w:rsidRPr="00A8261A">
              <w:rPr>
                <w:rStyle w:val="Hyperlink"/>
                <w:noProof/>
                <w:shd w:val="clear" w:color="auto" w:fill="FFFFFF"/>
              </w:rPr>
              <w:t>1.</w:t>
            </w:r>
            <w:r w:rsidR="008F10C7" w:rsidRPr="00A8261A">
              <w:rPr>
                <w:rStyle w:val="Hyperlink"/>
                <w:noProof/>
              </w:rPr>
              <w:t xml:space="preserve">2 </w:t>
            </w:r>
            <w:r w:rsidR="008F10C7" w:rsidRPr="00A8261A">
              <w:rPr>
                <w:rStyle w:val="Hyperlink"/>
                <w:noProof/>
                <w:shd w:val="clear" w:color="auto" w:fill="FFFFFF"/>
              </w:rPr>
              <w:t>- Position Designation</w:t>
            </w:r>
            <w:r w:rsidR="008F10C7">
              <w:rPr>
                <w:noProof/>
                <w:webHidden/>
              </w:rPr>
              <w:tab/>
            </w:r>
            <w:r w:rsidR="008F10C7">
              <w:rPr>
                <w:noProof/>
                <w:webHidden/>
              </w:rPr>
              <w:fldChar w:fldCharType="begin"/>
            </w:r>
            <w:r w:rsidR="008F10C7">
              <w:rPr>
                <w:noProof/>
                <w:webHidden/>
              </w:rPr>
              <w:instrText xml:space="preserve"> PAGEREF _Toc187924128 \h </w:instrText>
            </w:r>
            <w:r w:rsidR="008F10C7">
              <w:rPr>
                <w:noProof/>
                <w:webHidden/>
              </w:rPr>
            </w:r>
            <w:r w:rsidR="008F10C7">
              <w:rPr>
                <w:noProof/>
                <w:webHidden/>
              </w:rPr>
              <w:fldChar w:fldCharType="separate"/>
            </w:r>
            <w:r w:rsidR="008F10C7">
              <w:rPr>
                <w:noProof/>
                <w:webHidden/>
              </w:rPr>
              <w:t>20</w:t>
            </w:r>
            <w:r w:rsidR="008F10C7">
              <w:rPr>
                <w:noProof/>
                <w:webHidden/>
              </w:rPr>
              <w:fldChar w:fldCharType="end"/>
            </w:r>
          </w:hyperlink>
        </w:p>
        <w:p w14:paraId="5B1088C4" w14:textId="4E5E80BC" w:rsidR="008F10C7" w:rsidRDefault="005E0ACB">
          <w:pPr>
            <w:pStyle w:val="TOC2"/>
            <w:rPr>
              <w:rFonts w:asciiTheme="minorHAnsi" w:eastAsiaTheme="minorEastAsia" w:hAnsiTheme="minorHAnsi"/>
              <w:noProof/>
              <w:spacing w:val="0"/>
              <w:kern w:val="2"/>
              <w14:ligatures w14:val="standardContextual"/>
            </w:rPr>
          </w:pPr>
          <w:hyperlink w:anchor="_Toc187924129" w:history="1">
            <w:r w:rsidR="008F10C7" w:rsidRPr="00A8261A">
              <w:rPr>
                <w:rStyle w:val="Hyperlink"/>
                <w:noProof/>
              </w:rPr>
              <w:t>1.3 – Reciprocity</w:t>
            </w:r>
            <w:r w:rsidR="008F10C7">
              <w:rPr>
                <w:noProof/>
                <w:webHidden/>
              </w:rPr>
              <w:tab/>
            </w:r>
            <w:r w:rsidR="008F10C7">
              <w:rPr>
                <w:noProof/>
                <w:webHidden/>
              </w:rPr>
              <w:fldChar w:fldCharType="begin"/>
            </w:r>
            <w:r w:rsidR="008F10C7">
              <w:rPr>
                <w:noProof/>
                <w:webHidden/>
              </w:rPr>
              <w:instrText xml:space="preserve"> PAGEREF _Toc187924129 \h </w:instrText>
            </w:r>
            <w:r w:rsidR="008F10C7">
              <w:rPr>
                <w:noProof/>
                <w:webHidden/>
              </w:rPr>
            </w:r>
            <w:r w:rsidR="008F10C7">
              <w:rPr>
                <w:noProof/>
                <w:webHidden/>
              </w:rPr>
              <w:fldChar w:fldCharType="separate"/>
            </w:r>
            <w:r w:rsidR="008F10C7">
              <w:rPr>
                <w:noProof/>
                <w:webHidden/>
              </w:rPr>
              <w:t>23</w:t>
            </w:r>
            <w:r w:rsidR="008F10C7">
              <w:rPr>
                <w:noProof/>
                <w:webHidden/>
              </w:rPr>
              <w:fldChar w:fldCharType="end"/>
            </w:r>
          </w:hyperlink>
        </w:p>
        <w:p w14:paraId="245BB221" w14:textId="24ABBB1A" w:rsidR="008F10C7" w:rsidRDefault="005E0ACB">
          <w:pPr>
            <w:pStyle w:val="TOC3"/>
            <w:tabs>
              <w:tab w:val="right" w:leader="dot" w:pos="9350"/>
            </w:tabs>
            <w:rPr>
              <w:rFonts w:asciiTheme="minorHAnsi" w:eastAsiaTheme="minorEastAsia" w:hAnsiTheme="minorHAnsi"/>
              <w:noProof/>
              <w:spacing w:val="0"/>
              <w:kern w:val="2"/>
              <w14:ligatures w14:val="standardContextual"/>
            </w:rPr>
          </w:pPr>
          <w:hyperlink w:anchor="_Toc187924130" w:history="1">
            <w:r w:rsidR="008F10C7" w:rsidRPr="00A8261A">
              <w:rPr>
                <w:rStyle w:val="Hyperlink"/>
                <w:noProof/>
                <w:shd w:val="clear" w:color="auto" w:fill="FFFFFF"/>
              </w:rPr>
              <w:t>1.</w:t>
            </w:r>
            <w:r w:rsidR="008F10C7" w:rsidRPr="00A8261A">
              <w:rPr>
                <w:rStyle w:val="Hyperlink"/>
                <w:noProof/>
              </w:rPr>
              <w:t>3.1</w:t>
            </w:r>
            <w:r w:rsidR="008F10C7" w:rsidRPr="00A8261A">
              <w:rPr>
                <w:rStyle w:val="Hyperlink"/>
                <w:noProof/>
                <w:shd w:val="clear" w:color="auto" w:fill="FFFFFF"/>
              </w:rPr>
              <w:t xml:space="preserve"> – Reciprocity of Investigations</w:t>
            </w:r>
            <w:r w:rsidR="008F10C7">
              <w:rPr>
                <w:noProof/>
                <w:webHidden/>
              </w:rPr>
              <w:tab/>
            </w:r>
            <w:r w:rsidR="008F10C7">
              <w:rPr>
                <w:noProof/>
                <w:webHidden/>
              </w:rPr>
              <w:fldChar w:fldCharType="begin"/>
            </w:r>
            <w:r w:rsidR="008F10C7">
              <w:rPr>
                <w:noProof/>
                <w:webHidden/>
              </w:rPr>
              <w:instrText xml:space="preserve"> PAGEREF _Toc187924130 \h </w:instrText>
            </w:r>
            <w:r w:rsidR="008F10C7">
              <w:rPr>
                <w:noProof/>
                <w:webHidden/>
              </w:rPr>
            </w:r>
            <w:r w:rsidR="008F10C7">
              <w:rPr>
                <w:noProof/>
                <w:webHidden/>
              </w:rPr>
              <w:fldChar w:fldCharType="separate"/>
            </w:r>
            <w:r w:rsidR="008F10C7">
              <w:rPr>
                <w:noProof/>
                <w:webHidden/>
              </w:rPr>
              <w:t>23</w:t>
            </w:r>
            <w:r w:rsidR="008F10C7">
              <w:rPr>
                <w:noProof/>
                <w:webHidden/>
              </w:rPr>
              <w:fldChar w:fldCharType="end"/>
            </w:r>
          </w:hyperlink>
        </w:p>
        <w:p w14:paraId="6CCD572E" w14:textId="0EB3F0F6" w:rsidR="008F10C7" w:rsidRDefault="005E0ACB">
          <w:pPr>
            <w:pStyle w:val="TOC3"/>
            <w:tabs>
              <w:tab w:val="right" w:leader="dot" w:pos="9350"/>
            </w:tabs>
            <w:rPr>
              <w:rFonts w:asciiTheme="minorHAnsi" w:eastAsiaTheme="minorEastAsia" w:hAnsiTheme="minorHAnsi"/>
              <w:noProof/>
              <w:spacing w:val="0"/>
              <w:kern w:val="2"/>
              <w14:ligatures w14:val="standardContextual"/>
            </w:rPr>
          </w:pPr>
          <w:hyperlink w:anchor="_Toc187924131" w:history="1">
            <w:r w:rsidR="008F10C7" w:rsidRPr="00A8261A">
              <w:rPr>
                <w:rStyle w:val="Hyperlink"/>
                <w:noProof/>
                <w:shd w:val="clear" w:color="auto" w:fill="FFFFFF"/>
              </w:rPr>
              <w:t>1.</w:t>
            </w:r>
            <w:r w:rsidR="008F10C7" w:rsidRPr="00A8261A">
              <w:rPr>
                <w:rStyle w:val="Hyperlink"/>
                <w:noProof/>
              </w:rPr>
              <w:t>3.2</w:t>
            </w:r>
            <w:r w:rsidR="008F10C7" w:rsidRPr="00A8261A">
              <w:rPr>
                <w:rStyle w:val="Hyperlink"/>
                <w:noProof/>
                <w:shd w:val="clear" w:color="auto" w:fill="FFFFFF"/>
              </w:rPr>
              <w:t xml:space="preserve"> – Reciprocity of Suitability/Fitness Determinations</w:t>
            </w:r>
            <w:r w:rsidR="008F10C7">
              <w:rPr>
                <w:noProof/>
                <w:webHidden/>
              </w:rPr>
              <w:tab/>
            </w:r>
            <w:r w:rsidR="008F10C7">
              <w:rPr>
                <w:noProof/>
                <w:webHidden/>
              </w:rPr>
              <w:fldChar w:fldCharType="begin"/>
            </w:r>
            <w:r w:rsidR="008F10C7">
              <w:rPr>
                <w:noProof/>
                <w:webHidden/>
              </w:rPr>
              <w:instrText xml:space="preserve"> PAGEREF _Toc187924131 \h </w:instrText>
            </w:r>
            <w:r w:rsidR="008F10C7">
              <w:rPr>
                <w:noProof/>
                <w:webHidden/>
              </w:rPr>
            </w:r>
            <w:r w:rsidR="008F10C7">
              <w:rPr>
                <w:noProof/>
                <w:webHidden/>
              </w:rPr>
              <w:fldChar w:fldCharType="separate"/>
            </w:r>
            <w:r w:rsidR="008F10C7">
              <w:rPr>
                <w:noProof/>
                <w:webHidden/>
              </w:rPr>
              <w:t>24</w:t>
            </w:r>
            <w:r w:rsidR="008F10C7">
              <w:rPr>
                <w:noProof/>
                <w:webHidden/>
              </w:rPr>
              <w:fldChar w:fldCharType="end"/>
            </w:r>
          </w:hyperlink>
        </w:p>
        <w:p w14:paraId="1C966C96" w14:textId="7C6C8F7F" w:rsidR="008F10C7" w:rsidRDefault="005E0ACB">
          <w:pPr>
            <w:pStyle w:val="TOC2"/>
            <w:rPr>
              <w:rFonts w:asciiTheme="minorHAnsi" w:eastAsiaTheme="minorEastAsia" w:hAnsiTheme="minorHAnsi"/>
              <w:noProof/>
              <w:spacing w:val="0"/>
              <w:kern w:val="2"/>
              <w14:ligatures w14:val="standardContextual"/>
            </w:rPr>
          </w:pPr>
          <w:hyperlink w:anchor="_Toc187924132" w:history="1">
            <w:r w:rsidR="008F10C7" w:rsidRPr="00A8261A">
              <w:rPr>
                <w:rStyle w:val="Hyperlink"/>
                <w:noProof/>
              </w:rPr>
              <w:t>1.4 – Individual Engagement</w:t>
            </w:r>
            <w:r w:rsidR="008F10C7">
              <w:rPr>
                <w:noProof/>
                <w:webHidden/>
              </w:rPr>
              <w:tab/>
            </w:r>
            <w:r w:rsidR="008F10C7">
              <w:rPr>
                <w:noProof/>
                <w:webHidden/>
              </w:rPr>
              <w:fldChar w:fldCharType="begin"/>
            </w:r>
            <w:r w:rsidR="008F10C7">
              <w:rPr>
                <w:noProof/>
                <w:webHidden/>
              </w:rPr>
              <w:instrText xml:space="preserve"> PAGEREF _Toc187924132 \h </w:instrText>
            </w:r>
            <w:r w:rsidR="008F10C7">
              <w:rPr>
                <w:noProof/>
                <w:webHidden/>
              </w:rPr>
            </w:r>
            <w:r w:rsidR="008F10C7">
              <w:rPr>
                <w:noProof/>
                <w:webHidden/>
              </w:rPr>
              <w:fldChar w:fldCharType="separate"/>
            </w:r>
            <w:r w:rsidR="008F10C7">
              <w:rPr>
                <w:noProof/>
                <w:webHidden/>
              </w:rPr>
              <w:t>25</w:t>
            </w:r>
            <w:r w:rsidR="008F10C7">
              <w:rPr>
                <w:noProof/>
                <w:webHidden/>
              </w:rPr>
              <w:fldChar w:fldCharType="end"/>
            </w:r>
          </w:hyperlink>
        </w:p>
        <w:p w14:paraId="51D0671F" w14:textId="6EEB9A68" w:rsidR="008F10C7" w:rsidRDefault="005E0ACB">
          <w:pPr>
            <w:pStyle w:val="TOC1"/>
            <w:tabs>
              <w:tab w:val="right" w:leader="dot" w:pos="9350"/>
            </w:tabs>
            <w:rPr>
              <w:rFonts w:asciiTheme="minorHAnsi" w:eastAsiaTheme="minorEastAsia" w:hAnsiTheme="minorHAnsi"/>
              <w:b w:val="0"/>
              <w:noProof/>
              <w:spacing w:val="0"/>
              <w:kern w:val="2"/>
              <w14:ligatures w14:val="standardContextual"/>
            </w:rPr>
          </w:pPr>
          <w:hyperlink w:anchor="_Toc187924133" w:history="1">
            <w:r w:rsidR="008F10C7" w:rsidRPr="00A8261A">
              <w:rPr>
                <w:rStyle w:val="Hyperlink"/>
                <w:noProof/>
              </w:rPr>
              <w:t>Volume 2:</w:t>
            </w:r>
            <w:r w:rsidR="008F10C7" w:rsidRPr="00A8261A">
              <w:rPr>
                <w:rStyle w:val="Hyperlink"/>
                <w:noProof/>
                <w:spacing w:val="-15"/>
              </w:rPr>
              <w:t xml:space="preserve"> </w:t>
            </w:r>
            <w:r w:rsidR="008F10C7" w:rsidRPr="00A8261A">
              <w:rPr>
                <w:rStyle w:val="Hyperlink"/>
                <w:noProof/>
                <w:spacing w:val="-1"/>
              </w:rPr>
              <w:t xml:space="preserve"> </w:t>
            </w:r>
            <w:r w:rsidR="008F10C7" w:rsidRPr="00A8261A">
              <w:rPr>
                <w:rStyle w:val="Hyperlink"/>
                <w:noProof/>
              </w:rPr>
              <w:t>Preliminary Determinations, Trust Determinations, and Exceptions</w:t>
            </w:r>
            <w:r w:rsidR="008F10C7">
              <w:rPr>
                <w:noProof/>
                <w:webHidden/>
              </w:rPr>
              <w:tab/>
            </w:r>
            <w:r w:rsidR="008F10C7">
              <w:rPr>
                <w:noProof/>
                <w:webHidden/>
              </w:rPr>
              <w:fldChar w:fldCharType="begin"/>
            </w:r>
            <w:r w:rsidR="008F10C7">
              <w:rPr>
                <w:noProof/>
                <w:webHidden/>
              </w:rPr>
              <w:instrText xml:space="preserve"> PAGEREF _Toc187924133 \h </w:instrText>
            </w:r>
            <w:r w:rsidR="008F10C7">
              <w:rPr>
                <w:noProof/>
                <w:webHidden/>
              </w:rPr>
            </w:r>
            <w:r w:rsidR="008F10C7">
              <w:rPr>
                <w:noProof/>
                <w:webHidden/>
              </w:rPr>
              <w:fldChar w:fldCharType="separate"/>
            </w:r>
            <w:r w:rsidR="008F10C7">
              <w:rPr>
                <w:noProof/>
                <w:webHidden/>
              </w:rPr>
              <w:t>27</w:t>
            </w:r>
            <w:r w:rsidR="008F10C7">
              <w:rPr>
                <w:noProof/>
                <w:webHidden/>
              </w:rPr>
              <w:fldChar w:fldCharType="end"/>
            </w:r>
          </w:hyperlink>
        </w:p>
        <w:p w14:paraId="4310E5AE" w14:textId="652EF965" w:rsidR="008F10C7" w:rsidRDefault="005E0ACB">
          <w:pPr>
            <w:pStyle w:val="TOC2"/>
            <w:rPr>
              <w:rFonts w:asciiTheme="minorHAnsi" w:eastAsiaTheme="minorEastAsia" w:hAnsiTheme="minorHAnsi"/>
              <w:noProof/>
              <w:spacing w:val="0"/>
              <w:kern w:val="2"/>
              <w14:ligatures w14:val="standardContextual"/>
            </w:rPr>
          </w:pPr>
          <w:hyperlink w:anchor="_Toc187924134" w:history="1">
            <w:r w:rsidR="008F10C7" w:rsidRPr="00A8261A">
              <w:rPr>
                <w:rStyle w:val="Hyperlink"/>
                <w:noProof/>
              </w:rPr>
              <w:t>2.1 – Preliminary Determinations</w:t>
            </w:r>
            <w:r w:rsidR="008F10C7">
              <w:rPr>
                <w:noProof/>
                <w:webHidden/>
              </w:rPr>
              <w:tab/>
            </w:r>
            <w:r w:rsidR="008F10C7">
              <w:rPr>
                <w:noProof/>
                <w:webHidden/>
              </w:rPr>
              <w:fldChar w:fldCharType="begin"/>
            </w:r>
            <w:r w:rsidR="008F10C7">
              <w:rPr>
                <w:noProof/>
                <w:webHidden/>
              </w:rPr>
              <w:instrText xml:space="preserve"> PAGEREF _Toc187924134 \h </w:instrText>
            </w:r>
            <w:r w:rsidR="008F10C7">
              <w:rPr>
                <w:noProof/>
                <w:webHidden/>
              </w:rPr>
            </w:r>
            <w:r w:rsidR="008F10C7">
              <w:rPr>
                <w:noProof/>
                <w:webHidden/>
              </w:rPr>
              <w:fldChar w:fldCharType="separate"/>
            </w:r>
            <w:r w:rsidR="008F10C7">
              <w:rPr>
                <w:noProof/>
                <w:webHidden/>
              </w:rPr>
              <w:t>28</w:t>
            </w:r>
            <w:r w:rsidR="008F10C7">
              <w:rPr>
                <w:noProof/>
                <w:webHidden/>
              </w:rPr>
              <w:fldChar w:fldCharType="end"/>
            </w:r>
          </w:hyperlink>
        </w:p>
        <w:p w14:paraId="7A4820BF" w14:textId="133A8F44" w:rsidR="008F10C7" w:rsidRDefault="005E0ACB">
          <w:pPr>
            <w:pStyle w:val="TOC2"/>
            <w:rPr>
              <w:rFonts w:asciiTheme="minorHAnsi" w:eastAsiaTheme="minorEastAsia" w:hAnsiTheme="minorHAnsi"/>
              <w:noProof/>
              <w:spacing w:val="0"/>
              <w:kern w:val="2"/>
              <w14:ligatures w14:val="standardContextual"/>
            </w:rPr>
          </w:pPr>
          <w:hyperlink w:anchor="_Toc187924135" w:history="1">
            <w:r w:rsidR="008F10C7" w:rsidRPr="00A8261A">
              <w:rPr>
                <w:rStyle w:val="Hyperlink"/>
                <w:noProof/>
              </w:rPr>
              <w:t>2.2 – Trust Determinations</w:t>
            </w:r>
            <w:r w:rsidR="008F10C7">
              <w:rPr>
                <w:noProof/>
                <w:webHidden/>
              </w:rPr>
              <w:tab/>
            </w:r>
            <w:r w:rsidR="008F10C7">
              <w:rPr>
                <w:noProof/>
                <w:webHidden/>
              </w:rPr>
              <w:fldChar w:fldCharType="begin"/>
            </w:r>
            <w:r w:rsidR="008F10C7">
              <w:rPr>
                <w:noProof/>
                <w:webHidden/>
              </w:rPr>
              <w:instrText xml:space="preserve"> PAGEREF _Toc187924135 \h </w:instrText>
            </w:r>
            <w:r w:rsidR="008F10C7">
              <w:rPr>
                <w:noProof/>
                <w:webHidden/>
              </w:rPr>
            </w:r>
            <w:r w:rsidR="008F10C7">
              <w:rPr>
                <w:noProof/>
                <w:webHidden/>
              </w:rPr>
              <w:fldChar w:fldCharType="separate"/>
            </w:r>
            <w:r w:rsidR="008F10C7">
              <w:rPr>
                <w:noProof/>
                <w:webHidden/>
              </w:rPr>
              <w:t>28</w:t>
            </w:r>
            <w:r w:rsidR="008F10C7">
              <w:rPr>
                <w:noProof/>
                <w:webHidden/>
              </w:rPr>
              <w:fldChar w:fldCharType="end"/>
            </w:r>
          </w:hyperlink>
        </w:p>
        <w:p w14:paraId="3C1D25BD" w14:textId="51AC51EA" w:rsidR="008F10C7" w:rsidRDefault="005E0ACB">
          <w:pPr>
            <w:pStyle w:val="TOC3"/>
            <w:tabs>
              <w:tab w:val="right" w:leader="dot" w:pos="9350"/>
            </w:tabs>
            <w:rPr>
              <w:rFonts w:asciiTheme="minorHAnsi" w:eastAsiaTheme="minorEastAsia" w:hAnsiTheme="minorHAnsi"/>
              <w:noProof/>
              <w:spacing w:val="0"/>
              <w:kern w:val="2"/>
              <w14:ligatures w14:val="standardContextual"/>
            </w:rPr>
          </w:pPr>
          <w:hyperlink w:anchor="_Toc187924136" w:history="1">
            <w:r w:rsidR="008F10C7" w:rsidRPr="00A8261A">
              <w:rPr>
                <w:rStyle w:val="Hyperlink"/>
                <w:noProof/>
              </w:rPr>
              <w:t>2.2.1 – Requirement to Make Suitability/Fitness Determinations</w:t>
            </w:r>
            <w:r w:rsidR="008F10C7">
              <w:rPr>
                <w:noProof/>
                <w:webHidden/>
              </w:rPr>
              <w:tab/>
            </w:r>
            <w:r w:rsidR="008F10C7">
              <w:rPr>
                <w:noProof/>
                <w:webHidden/>
              </w:rPr>
              <w:fldChar w:fldCharType="begin"/>
            </w:r>
            <w:r w:rsidR="008F10C7">
              <w:rPr>
                <w:noProof/>
                <w:webHidden/>
              </w:rPr>
              <w:instrText xml:space="preserve"> PAGEREF _Toc187924136 \h </w:instrText>
            </w:r>
            <w:r w:rsidR="008F10C7">
              <w:rPr>
                <w:noProof/>
                <w:webHidden/>
              </w:rPr>
            </w:r>
            <w:r w:rsidR="008F10C7">
              <w:rPr>
                <w:noProof/>
                <w:webHidden/>
              </w:rPr>
              <w:fldChar w:fldCharType="separate"/>
            </w:r>
            <w:r w:rsidR="008F10C7">
              <w:rPr>
                <w:noProof/>
                <w:webHidden/>
              </w:rPr>
              <w:t>28</w:t>
            </w:r>
            <w:r w:rsidR="008F10C7">
              <w:rPr>
                <w:noProof/>
                <w:webHidden/>
              </w:rPr>
              <w:fldChar w:fldCharType="end"/>
            </w:r>
          </w:hyperlink>
        </w:p>
        <w:p w14:paraId="453DA24B" w14:textId="25E1E9D1" w:rsidR="008F10C7" w:rsidRDefault="005E0ACB">
          <w:pPr>
            <w:pStyle w:val="TOC2"/>
            <w:rPr>
              <w:rFonts w:asciiTheme="minorHAnsi" w:eastAsiaTheme="minorEastAsia" w:hAnsiTheme="minorHAnsi"/>
              <w:noProof/>
              <w:spacing w:val="0"/>
              <w:kern w:val="2"/>
              <w14:ligatures w14:val="standardContextual"/>
            </w:rPr>
          </w:pPr>
          <w:hyperlink w:anchor="_Toc187924137" w:history="1">
            <w:r w:rsidR="008F10C7" w:rsidRPr="00A8261A">
              <w:rPr>
                <w:rStyle w:val="Hyperlink"/>
                <w:noProof/>
              </w:rPr>
              <w:t>2.3 – Exceptions</w:t>
            </w:r>
            <w:r w:rsidR="008F10C7">
              <w:rPr>
                <w:noProof/>
                <w:webHidden/>
              </w:rPr>
              <w:tab/>
            </w:r>
            <w:r w:rsidR="008F10C7">
              <w:rPr>
                <w:noProof/>
                <w:webHidden/>
              </w:rPr>
              <w:fldChar w:fldCharType="begin"/>
            </w:r>
            <w:r w:rsidR="008F10C7">
              <w:rPr>
                <w:noProof/>
                <w:webHidden/>
              </w:rPr>
              <w:instrText xml:space="preserve"> PAGEREF _Toc187924137 \h </w:instrText>
            </w:r>
            <w:r w:rsidR="008F10C7">
              <w:rPr>
                <w:noProof/>
                <w:webHidden/>
              </w:rPr>
            </w:r>
            <w:r w:rsidR="008F10C7">
              <w:rPr>
                <w:noProof/>
                <w:webHidden/>
              </w:rPr>
              <w:fldChar w:fldCharType="separate"/>
            </w:r>
            <w:r w:rsidR="008F10C7">
              <w:rPr>
                <w:noProof/>
                <w:webHidden/>
              </w:rPr>
              <w:t>29</w:t>
            </w:r>
            <w:r w:rsidR="008F10C7">
              <w:rPr>
                <w:noProof/>
                <w:webHidden/>
              </w:rPr>
              <w:fldChar w:fldCharType="end"/>
            </w:r>
          </w:hyperlink>
        </w:p>
        <w:p w14:paraId="688800E5" w14:textId="0A59F684" w:rsidR="008F10C7" w:rsidRDefault="005E0ACB">
          <w:pPr>
            <w:pStyle w:val="TOC1"/>
            <w:tabs>
              <w:tab w:val="right" w:leader="dot" w:pos="9350"/>
            </w:tabs>
            <w:rPr>
              <w:rFonts w:asciiTheme="minorHAnsi" w:eastAsiaTheme="minorEastAsia" w:hAnsiTheme="minorHAnsi"/>
              <w:b w:val="0"/>
              <w:noProof/>
              <w:spacing w:val="0"/>
              <w:kern w:val="2"/>
              <w14:ligatures w14:val="standardContextual"/>
            </w:rPr>
          </w:pPr>
          <w:hyperlink w:anchor="_Toc187924138" w:history="1">
            <w:r w:rsidR="008F10C7" w:rsidRPr="00A8261A">
              <w:rPr>
                <w:rStyle w:val="Hyperlink"/>
                <w:noProof/>
              </w:rPr>
              <w:t>Volume 3:</w:t>
            </w:r>
            <w:r w:rsidR="008F10C7" w:rsidRPr="00A8261A">
              <w:rPr>
                <w:rStyle w:val="Hyperlink"/>
                <w:noProof/>
                <w:spacing w:val="-15"/>
              </w:rPr>
              <w:t xml:space="preserve"> </w:t>
            </w:r>
            <w:r w:rsidR="008F10C7" w:rsidRPr="00A8261A">
              <w:rPr>
                <w:rStyle w:val="Hyperlink"/>
                <w:noProof/>
                <w:spacing w:val="-1"/>
              </w:rPr>
              <w:t xml:space="preserve"> </w:t>
            </w:r>
            <w:r w:rsidR="008F10C7" w:rsidRPr="00A8261A">
              <w:rPr>
                <w:rStyle w:val="Hyperlink"/>
                <w:noProof/>
              </w:rPr>
              <w:t>Factors, Additional Considerations, and the Determination Process</w:t>
            </w:r>
            <w:r w:rsidR="008F10C7">
              <w:rPr>
                <w:noProof/>
                <w:webHidden/>
              </w:rPr>
              <w:tab/>
            </w:r>
            <w:r w:rsidR="008F10C7">
              <w:rPr>
                <w:noProof/>
                <w:webHidden/>
              </w:rPr>
              <w:fldChar w:fldCharType="begin"/>
            </w:r>
            <w:r w:rsidR="008F10C7">
              <w:rPr>
                <w:noProof/>
                <w:webHidden/>
              </w:rPr>
              <w:instrText xml:space="preserve"> PAGEREF _Toc187924138 \h </w:instrText>
            </w:r>
            <w:r w:rsidR="008F10C7">
              <w:rPr>
                <w:noProof/>
                <w:webHidden/>
              </w:rPr>
            </w:r>
            <w:r w:rsidR="008F10C7">
              <w:rPr>
                <w:noProof/>
                <w:webHidden/>
              </w:rPr>
              <w:fldChar w:fldCharType="separate"/>
            </w:r>
            <w:r w:rsidR="008F10C7">
              <w:rPr>
                <w:noProof/>
                <w:webHidden/>
              </w:rPr>
              <w:t>30</w:t>
            </w:r>
            <w:r w:rsidR="008F10C7">
              <w:rPr>
                <w:noProof/>
                <w:webHidden/>
              </w:rPr>
              <w:fldChar w:fldCharType="end"/>
            </w:r>
          </w:hyperlink>
        </w:p>
        <w:p w14:paraId="44972F60" w14:textId="183B4008" w:rsidR="008F10C7" w:rsidRDefault="005E0ACB">
          <w:pPr>
            <w:pStyle w:val="TOC2"/>
            <w:rPr>
              <w:rFonts w:asciiTheme="minorHAnsi" w:eastAsiaTheme="minorEastAsia" w:hAnsiTheme="minorHAnsi"/>
              <w:noProof/>
              <w:spacing w:val="0"/>
              <w:kern w:val="2"/>
              <w14:ligatures w14:val="standardContextual"/>
            </w:rPr>
          </w:pPr>
          <w:hyperlink w:anchor="_Toc187924139" w:history="1">
            <w:r w:rsidR="008F10C7" w:rsidRPr="00A8261A">
              <w:rPr>
                <w:rStyle w:val="Hyperlink"/>
                <w:noProof/>
              </w:rPr>
              <w:t>3.1 – Adjudicative Standard</w:t>
            </w:r>
            <w:r w:rsidR="008F10C7">
              <w:rPr>
                <w:noProof/>
                <w:webHidden/>
              </w:rPr>
              <w:tab/>
            </w:r>
            <w:r w:rsidR="008F10C7">
              <w:rPr>
                <w:noProof/>
                <w:webHidden/>
              </w:rPr>
              <w:fldChar w:fldCharType="begin"/>
            </w:r>
            <w:r w:rsidR="008F10C7">
              <w:rPr>
                <w:noProof/>
                <w:webHidden/>
              </w:rPr>
              <w:instrText xml:space="preserve"> PAGEREF _Toc187924139 \h </w:instrText>
            </w:r>
            <w:r w:rsidR="008F10C7">
              <w:rPr>
                <w:noProof/>
                <w:webHidden/>
              </w:rPr>
            </w:r>
            <w:r w:rsidR="008F10C7">
              <w:rPr>
                <w:noProof/>
                <w:webHidden/>
              </w:rPr>
              <w:fldChar w:fldCharType="separate"/>
            </w:r>
            <w:r w:rsidR="008F10C7">
              <w:rPr>
                <w:noProof/>
                <w:webHidden/>
              </w:rPr>
              <w:t>31</w:t>
            </w:r>
            <w:r w:rsidR="008F10C7">
              <w:rPr>
                <w:noProof/>
                <w:webHidden/>
              </w:rPr>
              <w:fldChar w:fldCharType="end"/>
            </w:r>
          </w:hyperlink>
        </w:p>
        <w:p w14:paraId="77015C13" w14:textId="546E01AD" w:rsidR="008F10C7" w:rsidRDefault="005E0ACB">
          <w:pPr>
            <w:pStyle w:val="TOC2"/>
            <w:rPr>
              <w:rFonts w:asciiTheme="minorHAnsi" w:eastAsiaTheme="minorEastAsia" w:hAnsiTheme="minorHAnsi"/>
              <w:noProof/>
              <w:spacing w:val="0"/>
              <w:kern w:val="2"/>
              <w14:ligatures w14:val="standardContextual"/>
            </w:rPr>
          </w:pPr>
          <w:hyperlink w:anchor="_Toc187924140" w:history="1">
            <w:r w:rsidR="008F10C7" w:rsidRPr="00A8261A">
              <w:rPr>
                <w:rStyle w:val="Hyperlink"/>
                <w:noProof/>
              </w:rPr>
              <w:t>3.2 – OPM and Agency Authorities</w:t>
            </w:r>
            <w:r w:rsidR="008F10C7">
              <w:rPr>
                <w:noProof/>
                <w:webHidden/>
              </w:rPr>
              <w:tab/>
            </w:r>
            <w:r w:rsidR="008F10C7">
              <w:rPr>
                <w:noProof/>
                <w:webHidden/>
              </w:rPr>
              <w:fldChar w:fldCharType="begin"/>
            </w:r>
            <w:r w:rsidR="008F10C7">
              <w:rPr>
                <w:noProof/>
                <w:webHidden/>
              </w:rPr>
              <w:instrText xml:space="preserve"> PAGEREF _Toc187924140 \h </w:instrText>
            </w:r>
            <w:r w:rsidR="008F10C7">
              <w:rPr>
                <w:noProof/>
                <w:webHidden/>
              </w:rPr>
            </w:r>
            <w:r w:rsidR="008F10C7">
              <w:rPr>
                <w:noProof/>
                <w:webHidden/>
              </w:rPr>
              <w:fldChar w:fldCharType="separate"/>
            </w:r>
            <w:r w:rsidR="008F10C7">
              <w:rPr>
                <w:noProof/>
                <w:webHidden/>
              </w:rPr>
              <w:t>31</w:t>
            </w:r>
            <w:r w:rsidR="008F10C7">
              <w:rPr>
                <w:noProof/>
                <w:webHidden/>
              </w:rPr>
              <w:fldChar w:fldCharType="end"/>
            </w:r>
          </w:hyperlink>
        </w:p>
        <w:p w14:paraId="0A363BD1" w14:textId="0A050453" w:rsidR="008F10C7" w:rsidRDefault="005E0ACB">
          <w:pPr>
            <w:pStyle w:val="TOC2"/>
            <w:rPr>
              <w:rFonts w:asciiTheme="minorHAnsi" w:eastAsiaTheme="minorEastAsia" w:hAnsiTheme="minorHAnsi"/>
              <w:noProof/>
              <w:spacing w:val="0"/>
              <w:kern w:val="2"/>
              <w14:ligatures w14:val="standardContextual"/>
            </w:rPr>
          </w:pPr>
          <w:hyperlink w:anchor="_Toc187924141" w:history="1">
            <w:r w:rsidR="008F10C7" w:rsidRPr="00A8261A">
              <w:rPr>
                <w:rStyle w:val="Hyperlink"/>
                <w:noProof/>
              </w:rPr>
              <w:t>3.3 – Required Referrals to OPM</w:t>
            </w:r>
            <w:r w:rsidR="008F10C7">
              <w:rPr>
                <w:noProof/>
                <w:webHidden/>
              </w:rPr>
              <w:tab/>
            </w:r>
            <w:r w:rsidR="008F10C7">
              <w:rPr>
                <w:noProof/>
                <w:webHidden/>
              </w:rPr>
              <w:fldChar w:fldCharType="begin"/>
            </w:r>
            <w:r w:rsidR="008F10C7">
              <w:rPr>
                <w:noProof/>
                <w:webHidden/>
              </w:rPr>
              <w:instrText xml:space="preserve"> PAGEREF _Toc187924141 \h </w:instrText>
            </w:r>
            <w:r w:rsidR="008F10C7">
              <w:rPr>
                <w:noProof/>
                <w:webHidden/>
              </w:rPr>
            </w:r>
            <w:r w:rsidR="008F10C7">
              <w:rPr>
                <w:noProof/>
                <w:webHidden/>
              </w:rPr>
              <w:fldChar w:fldCharType="separate"/>
            </w:r>
            <w:r w:rsidR="008F10C7">
              <w:rPr>
                <w:noProof/>
                <w:webHidden/>
              </w:rPr>
              <w:t>32</w:t>
            </w:r>
            <w:r w:rsidR="008F10C7">
              <w:rPr>
                <w:noProof/>
                <w:webHidden/>
              </w:rPr>
              <w:fldChar w:fldCharType="end"/>
            </w:r>
          </w:hyperlink>
        </w:p>
        <w:p w14:paraId="5DA17E97" w14:textId="3546BF63" w:rsidR="008F10C7" w:rsidRDefault="005E0ACB">
          <w:pPr>
            <w:pStyle w:val="TOC2"/>
            <w:rPr>
              <w:rFonts w:asciiTheme="minorHAnsi" w:eastAsiaTheme="minorEastAsia" w:hAnsiTheme="minorHAnsi"/>
              <w:noProof/>
              <w:spacing w:val="0"/>
              <w:kern w:val="2"/>
              <w14:ligatures w14:val="standardContextual"/>
            </w:rPr>
          </w:pPr>
          <w:hyperlink w:anchor="_Toc187924142" w:history="1">
            <w:r w:rsidR="008F10C7" w:rsidRPr="00A8261A">
              <w:rPr>
                <w:rStyle w:val="Hyperlink"/>
                <w:noProof/>
              </w:rPr>
              <w:t>3.4 – How to Make a Suitability or Fitness Determination</w:t>
            </w:r>
            <w:r w:rsidR="008F10C7">
              <w:rPr>
                <w:noProof/>
                <w:webHidden/>
              </w:rPr>
              <w:tab/>
            </w:r>
            <w:r w:rsidR="008F10C7">
              <w:rPr>
                <w:noProof/>
                <w:webHidden/>
              </w:rPr>
              <w:fldChar w:fldCharType="begin"/>
            </w:r>
            <w:r w:rsidR="008F10C7">
              <w:rPr>
                <w:noProof/>
                <w:webHidden/>
              </w:rPr>
              <w:instrText xml:space="preserve"> PAGEREF _Toc187924142 \h </w:instrText>
            </w:r>
            <w:r w:rsidR="008F10C7">
              <w:rPr>
                <w:noProof/>
                <w:webHidden/>
              </w:rPr>
            </w:r>
            <w:r w:rsidR="008F10C7">
              <w:rPr>
                <w:noProof/>
                <w:webHidden/>
              </w:rPr>
              <w:fldChar w:fldCharType="separate"/>
            </w:r>
            <w:r w:rsidR="008F10C7">
              <w:rPr>
                <w:noProof/>
                <w:webHidden/>
              </w:rPr>
              <w:t>33</w:t>
            </w:r>
            <w:r w:rsidR="008F10C7">
              <w:rPr>
                <w:noProof/>
                <w:webHidden/>
              </w:rPr>
              <w:fldChar w:fldCharType="end"/>
            </w:r>
          </w:hyperlink>
        </w:p>
        <w:p w14:paraId="17825381" w14:textId="1CAB221B" w:rsidR="008F10C7" w:rsidRDefault="005E0ACB">
          <w:pPr>
            <w:pStyle w:val="TOC2"/>
            <w:rPr>
              <w:rFonts w:asciiTheme="minorHAnsi" w:eastAsiaTheme="minorEastAsia" w:hAnsiTheme="minorHAnsi"/>
              <w:noProof/>
              <w:spacing w:val="0"/>
              <w:kern w:val="2"/>
              <w14:ligatures w14:val="standardContextual"/>
            </w:rPr>
          </w:pPr>
          <w:hyperlink w:anchor="_Toc187924143" w:history="1">
            <w:r w:rsidR="008F10C7" w:rsidRPr="00A8261A">
              <w:rPr>
                <w:rStyle w:val="Hyperlink"/>
                <w:noProof/>
              </w:rPr>
              <w:t>3.5 – Suitability and Fitness Factors</w:t>
            </w:r>
            <w:r w:rsidR="008F10C7">
              <w:rPr>
                <w:noProof/>
                <w:webHidden/>
              </w:rPr>
              <w:tab/>
            </w:r>
            <w:r w:rsidR="008F10C7">
              <w:rPr>
                <w:noProof/>
                <w:webHidden/>
              </w:rPr>
              <w:fldChar w:fldCharType="begin"/>
            </w:r>
            <w:r w:rsidR="008F10C7">
              <w:rPr>
                <w:noProof/>
                <w:webHidden/>
              </w:rPr>
              <w:instrText xml:space="preserve"> PAGEREF _Toc187924143 \h </w:instrText>
            </w:r>
            <w:r w:rsidR="008F10C7">
              <w:rPr>
                <w:noProof/>
                <w:webHidden/>
              </w:rPr>
            </w:r>
            <w:r w:rsidR="008F10C7">
              <w:rPr>
                <w:noProof/>
                <w:webHidden/>
              </w:rPr>
              <w:fldChar w:fldCharType="separate"/>
            </w:r>
            <w:r w:rsidR="008F10C7">
              <w:rPr>
                <w:noProof/>
                <w:webHidden/>
              </w:rPr>
              <w:t>34</w:t>
            </w:r>
            <w:r w:rsidR="008F10C7">
              <w:rPr>
                <w:noProof/>
                <w:webHidden/>
              </w:rPr>
              <w:fldChar w:fldCharType="end"/>
            </w:r>
          </w:hyperlink>
        </w:p>
        <w:p w14:paraId="7DCA3DDF" w14:textId="710DA828" w:rsidR="008F10C7" w:rsidRDefault="005E0ACB">
          <w:pPr>
            <w:pStyle w:val="TOC3"/>
            <w:tabs>
              <w:tab w:val="right" w:leader="dot" w:pos="9350"/>
            </w:tabs>
            <w:rPr>
              <w:rFonts w:asciiTheme="minorHAnsi" w:eastAsiaTheme="minorEastAsia" w:hAnsiTheme="minorHAnsi"/>
              <w:noProof/>
              <w:spacing w:val="0"/>
              <w:kern w:val="2"/>
              <w14:ligatures w14:val="standardContextual"/>
            </w:rPr>
          </w:pPr>
          <w:hyperlink w:anchor="_Toc187924144" w:history="1">
            <w:r w:rsidR="008F10C7" w:rsidRPr="00A8261A">
              <w:rPr>
                <w:rStyle w:val="Hyperlink"/>
                <w:noProof/>
              </w:rPr>
              <w:t>FACTOR 1: MISCONDUCT OR NEGLIGENCE IN EMPLOYMENT</w:t>
            </w:r>
            <w:r w:rsidR="008F10C7">
              <w:rPr>
                <w:noProof/>
                <w:webHidden/>
              </w:rPr>
              <w:tab/>
            </w:r>
            <w:r w:rsidR="008F10C7">
              <w:rPr>
                <w:noProof/>
                <w:webHidden/>
              </w:rPr>
              <w:fldChar w:fldCharType="begin"/>
            </w:r>
            <w:r w:rsidR="008F10C7">
              <w:rPr>
                <w:noProof/>
                <w:webHidden/>
              </w:rPr>
              <w:instrText xml:space="preserve"> PAGEREF _Toc187924144 \h </w:instrText>
            </w:r>
            <w:r w:rsidR="008F10C7">
              <w:rPr>
                <w:noProof/>
                <w:webHidden/>
              </w:rPr>
            </w:r>
            <w:r w:rsidR="008F10C7">
              <w:rPr>
                <w:noProof/>
                <w:webHidden/>
              </w:rPr>
              <w:fldChar w:fldCharType="separate"/>
            </w:r>
            <w:r w:rsidR="008F10C7">
              <w:rPr>
                <w:noProof/>
                <w:webHidden/>
              </w:rPr>
              <w:t>34</w:t>
            </w:r>
            <w:r w:rsidR="008F10C7">
              <w:rPr>
                <w:noProof/>
                <w:webHidden/>
              </w:rPr>
              <w:fldChar w:fldCharType="end"/>
            </w:r>
          </w:hyperlink>
        </w:p>
        <w:p w14:paraId="52B49530" w14:textId="4624C076" w:rsidR="008F10C7" w:rsidRDefault="005E0ACB">
          <w:pPr>
            <w:pStyle w:val="TOC3"/>
            <w:tabs>
              <w:tab w:val="right" w:leader="dot" w:pos="9350"/>
            </w:tabs>
            <w:rPr>
              <w:rFonts w:asciiTheme="minorHAnsi" w:eastAsiaTheme="minorEastAsia" w:hAnsiTheme="minorHAnsi"/>
              <w:noProof/>
              <w:spacing w:val="0"/>
              <w:kern w:val="2"/>
              <w14:ligatures w14:val="standardContextual"/>
            </w:rPr>
          </w:pPr>
          <w:hyperlink w:anchor="_Toc187924145" w:history="1">
            <w:r w:rsidR="008F10C7" w:rsidRPr="00A8261A">
              <w:rPr>
                <w:rStyle w:val="Hyperlink"/>
                <w:noProof/>
              </w:rPr>
              <w:t>FACTOR 2: CRIMINAL CONDUCT</w:t>
            </w:r>
            <w:r w:rsidR="008F10C7">
              <w:rPr>
                <w:noProof/>
                <w:webHidden/>
              </w:rPr>
              <w:tab/>
            </w:r>
            <w:r w:rsidR="008F10C7">
              <w:rPr>
                <w:noProof/>
                <w:webHidden/>
              </w:rPr>
              <w:fldChar w:fldCharType="begin"/>
            </w:r>
            <w:r w:rsidR="008F10C7">
              <w:rPr>
                <w:noProof/>
                <w:webHidden/>
              </w:rPr>
              <w:instrText xml:space="preserve"> PAGEREF _Toc187924145 \h </w:instrText>
            </w:r>
            <w:r w:rsidR="008F10C7">
              <w:rPr>
                <w:noProof/>
                <w:webHidden/>
              </w:rPr>
            </w:r>
            <w:r w:rsidR="008F10C7">
              <w:rPr>
                <w:noProof/>
                <w:webHidden/>
              </w:rPr>
              <w:fldChar w:fldCharType="separate"/>
            </w:r>
            <w:r w:rsidR="008F10C7">
              <w:rPr>
                <w:noProof/>
                <w:webHidden/>
              </w:rPr>
              <w:t>35</w:t>
            </w:r>
            <w:r w:rsidR="008F10C7">
              <w:rPr>
                <w:noProof/>
                <w:webHidden/>
              </w:rPr>
              <w:fldChar w:fldCharType="end"/>
            </w:r>
          </w:hyperlink>
        </w:p>
        <w:p w14:paraId="74CC31F8" w14:textId="29CC51EE" w:rsidR="008F10C7" w:rsidRDefault="005E0ACB">
          <w:pPr>
            <w:pStyle w:val="TOC3"/>
            <w:tabs>
              <w:tab w:val="right" w:leader="dot" w:pos="9350"/>
            </w:tabs>
            <w:rPr>
              <w:rFonts w:asciiTheme="minorHAnsi" w:eastAsiaTheme="minorEastAsia" w:hAnsiTheme="minorHAnsi"/>
              <w:noProof/>
              <w:spacing w:val="0"/>
              <w:kern w:val="2"/>
              <w14:ligatures w14:val="standardContextual"/>
            </w:rPr>
          </w:pPr>
          <w:hyperlink w:anchor="_Toc187924146" w:history="1">
            <w:r w:rsidR="008F10C7" w:rsidRPr="00A8261A">
              <w:rPr>
                <w:rStyle w:val="Hyperlink"/>
                <w:noProof/>
              </w:rPr>
              <w:t>FACTOR 3: MATERIAL, INTENTIONAL FALSE STATEMENT, OR DECEPTION OR FRAUD, IN EXAMINATION OR APPOINTMENT</w:t>
            </w:r>
            <w:r w:rsidR="008F10C7">
              <w:rPr>
                <w:noProof/>
                <w:webHidden/>
              </w:rPr>
              <w:tab/>
            </w:r>
            <w:r w:rsidR="008F10C7">
              <w:rPr>
                <w:noProof/>
                <w:webHidden/>
              </w:rPr>
              <w:fldChar w:fldCharType="begin"/>
            </w:r>
            <w:r w:rsidR="008F10C7">
              <w:rPr>
                <w:noProof/>
                <w:webHidden/>
              </w:rPr>
              <w:instrText xml:space="preserve"> PAGEREF _Toc187924146 \h </w:instrText>
            </w:r>
            <w:r w:rsidR="008F10C7">
              <w:rPr>
                <w:noProof/>
                <w:webHidden/>
              </w:rPr>
            </w:r>
            <w:r w:rsidR="008F10C7">
              <w:rPr>
                <w:noProof/>
                <w:webHidden/>
              </w:rPr>
              <w:fldChar w:fldCharType="separate"/>
            </w:r>
            <w:r w:rsidR="008F10C7">
              <w:rPr>
                <w:noProof/>
                <w:webHidden/>
              </w:rPr>
              <w:t>38</w:t>
            </w:r>
            <w:r w:rsidR="008F10C7">
              <w:rPr>
                <w:noProof/>
                <w:webHidden/>
              </w:rPr>
              <w:fldChar w:fldCharType="end"/>
            </w:r>
          </w:hyperlink>
        </w:p>
        <w:p w14:paraId="58A5E7A3" w14:textId="2DA8A5DB" w:rsidR="008F10C7" w:rsidRDefault="005E0ACB">
          <w:pPr>
            <w:pStyle w:val="TOC3"/>
            <w:tabs>
              <w:tab w:val="right" w:leader="dot" w:pos="9350"/>
            </w:tabs>
            <w:rPr>
              <w:rFonts w:asciiTheme="minorHAnsi" w:eastAsiaTheme="minorEastAsia" w:hAnsiTheme="minorHAnsi"/>
              <w:noProof/>
              <w:spacing w:val="0"/>
              <w:kern w:val="2"/>
              <w14:ligatures w14:val="standardContextual"/>
            </w:rPr>
          </w:pPr>
          <w:hyperlink w:anchor="_Toc187924147" w:history="1">
            <w:r w:rsidR="008F10C7" w:rsidRPr="00A8261A">
              <w:rPr>
                <w:rStyle w:val="Hyperlink"/>
                <w:noProof/>
              </w:rPr>
              <w:t>FACTOR 4: DISHONEST CONDUCT</w:t>
            </w:r>
            <w:r w:rsidR="008F10C7">
              <w:rPr>
                <w:noProof/>
                <w:webHidden/>
              </w:rPr>
              <w:tab/>
            </w:r>
            <w:r w:rsidR="008F10C7">
              <w:rPr>
                <w:noProof/>
                <w:webHidden/>
              </w:rPr>
              <w:fldChar w:fldCharType="begin"/>
            </w:r>
            <w:r w:rsidR="008F10C7">
              <w:rPr>
                <w:noProof/>
                <w:webHidden/>
              </w:rPr>
              <w:instrText xml:space="preserve"> PAGEREF _Toc187924147 \h </w:instrText>
            </w:r>
            <w:r w:rsidR="008F10C7">
              <w:rPr>
                <w:noProof/>
                <w:webHidden/>
              </w:rPr>
            </w:r>
            <w:r w:rsidR="008F10C7">
              <w:rPr>
                <w:noProof/>
                <w:webHidden/>
              </w:rPr>
              <w:fldChar w:fldCharType="separate"/>
            </w:r>
            <w:r w:rsidR="008F10C7">
              <w:rPr>
                <w:noProof/>
                <w:webHidden/>
              </w:rPr>
              <w:t>46</w:t>
            </w:r>
            <w:r w:rsidR="008F10C7">
              <w:rPr>
                <w:noProof/>
                <w:webHidden/>
              </w:rPr>
              <w:fldChar w:fldCharType="end"/>
            </w:r>
          </w:hyperlink>
        </w:p>
        <w:p w14:paraId="6FB42B75" w14:textId="0D3F0E91" w:rsidR="008F10C7" w:rsidRDefault="005E0ACB">
          <w:pPr>
            <w:pStyle w:val="TOC3"/>
            <w:tabs>
              <w:tab w:val="right" w:leader="dot" w:pos="9350"/>
            </w:tabs>
            <w:rPr>
              <w:rFonts w:asciiTheme="minorHAnsi" w:eastAsiaTheme="minorEastAsia" w:hAnsiTheme="minorHAnsi"/>
              <w:noProof/>
              <w:spacing w:val="0"/>
              <w:kern w:val="2"/>
              <w14:ligatures w14:val="standardContextual"/>
            </w:rPr>
          </w:pPr>
          <w:hyperlink w:anchor="_Toc187924148" w:history="1">
            <w:r w:rsidR="008F10C7" w:rsidRPr="00A8261A">
              <w:rPr>
                <w:rStyle w:val="Hyperlink"/>
                <w:noProof/>
              </w:rPr>
              <w:t>FACTOR 5: EXCESSIVE ALCOHOL USE, WITHOUT EVIDENCE OF REHABILITATION, OF A NATURE AND DURATION THAT SUGGESTS THE APPLICANT OR APPOINTEE WOULD BE PREVENTED FROM PERFORMING THE DUTIES OF THE POSITION IN QUESTION, OR WOULD CONSTITUTE A DIRECT THREAT TO THE PROPERTY OR SAFETY OF THE APPLICANT, APPOINTEE, OR OTHERS</w:t>
            </w:r>
            <w:r w:rsidR="008F10C7">
              <w:rPr>
                <w:noProof/>
                <w:webHidden/>
              </w:rPr>
              <w:tab/>
            </w:r>
            <w:r w:rsidR="008F10C7">
              <w:rPr>
                <w:noProof/>
                <w:webHidden/>
              </w:rPr>
              <w:fldChar w:fldCharType="begin"/>
            </w:r>
            <w:r w:rsidR="008F10C7">
              <w:rPr>
                <w:noProof/>
                <w:webHidden/>
              </w:rPr>
              <w:instrText xml:space="preserve"> PAGEREF _Toc187924148 \h </w:instrText>
            </w:r>
            <w:r w:rsidR="008F10C7">
              <w:rPr>
                <w:noProof/>
                <w:webHidden/>
              </w:rPr>
            </w:r>
            <w:r w:rsidR="008F10C7">
              <w:rPr>
                <w:noProof/>
                <w:webHidden/>
              </w:rPr>
              <w:fldChar w:fldCharType="separate"/>
            </w:r>
            <w:r w:rsidR="008F10C7">
              <w:rPr>
                <w:noProof/>
                <w:webHidden/>
              </w:rPr>
              <w:t>47</w:t>
            </w:r>
            <w:r w:rsidR="008F10C7">
              <w:rPr>
                <w:noProof/>
                <w:webHidden/>
              </w:rPr>
              <w:fldChar w:fldCharType="end"/>
            </w:r>
          </w:hyperlink>
        </w:p>
        <w:p w14:paraId="6DF42023" w14:textId="220E9380" w:rsidR="008F10C7" w:rsidRDefault="005E0ACB">
          <w:pPr>
            <w:pStyle w:val="TOC3"/>
            <w:tabs>
              <w:tab w:val="right" w:leader="dot" w:pos="9350"/>
            </w:tabs>
            <w:rPr>
              <w:rFonts w:asciiTheme="minorHAnsi" w:eastAsiaTheme="minorEastAsia" w:hAnsiTheme="minorHAnsi"/>
              <w:noProof/>
              <w:spacing w:val="0"/>
              <w:kern w:val="2"/>
              <w14:ligatures w14:val="standardContextual"/>
            </w:rPr>
          </w:pPr>
          <w:hyperlink w:anchor="_Toc187924149" w:history="1">
            <w:r w:rsidR="008F10C7" w:rsidRPr="00A8261A">
              <w:rPr>
                <w:rStyle w:val="Hyperlink"/>
                <w:noProof/>
              </w:rPr>
              <w:t>FACTOR 6: ILLEGAL USE OF NARCOTICS, DRUGS, OR OTHER CONTROLLED SUNSTANCES, WITHOUT EVIDENCE OF REHABILITATION</w:t>
            </w:r>
            <w:r w:rsidR="008F10C7">
              <w:rPr>
                <w:noProof/>
                <w:webHidden/>
              </w:rPr>
              <w:tab/>
            </w:r>
            <w:r w:rsidR="008F10C7">
              <w:rPr>
                <w:noProof/>
                <w:webHidden/>
              </w:rPr>
              <w:fldChar w:fldCharType="begin"/>
            </w:r>
            <w:r w:rsidR="008F10C7">
              <w:rPr>
                <w:noProof/>
                <w:webHidden/>
              </w:rPr>
              <w:instrText xml:space="preserve"> PAGEREF _Toc187924149 \h </w:instrText>
            </w:r>
            <w:r w:rsidR="008F10C7">
              <w:rPr>
                <w:noProof/>
                <w:webHidden/>
              </w:rPr>
            </w:r>
            <w:r w:rsidR="008F10C7">
              <w:rPr>
                <w:noProof/>
                <w:webHidden/>
              </w:rPr>
              <w:fldChar w:fldCharType="separate"/>
            </w:r>
            <w:r w:rsidR="008F10C7">
              <w:rPr>
                <w:noProof/>
                <w:webHidden/>
              </w:rPr>
              <w:t>49</w:t>
            </w:r>
            <w:r w:rsidR="008F10C7">
              <w:rPr>
                <w:noProof/>
                <w:webHidden/>
              </w:rPr>
              <w:fldChar w:fldCharType="end"/>
            </w:r>
          </w:hyperlink>
        </w:p>
        <w:p w14:paraId="4981C9A3" w14:textId="5F021503" w:rsidR="008F10C7" w:rsidRDefault="005E0ACB">
          <w:pPr>
            <w:pStyle w:val="TOC3"/>
            <w:tabs>
              <w:tab w:val="right" w:leader="dot" w:pos="9350"/>
            </w:tabs>
            <w:rPr>
              <w:rFonts w:asciiTheme="minorHAnsi" w:eastAsiaTheme="minorEastAsia" w:hAnsiTheme="minorHAnsi"/>
              <w:noProof/>
              <w:spacing w:val="0"/>
              <w:kern w:val="2"/>
              <w14:ligatures w14:val="standardContextual"/>
            </w:rPr>
          </w:pPr>
          <w:hyperlink w:anchor="_Toc187924150" w:history="1">
            <w:r w:rsidR="008F10C7" w:rsidRPr="00A8261A">
              <w:rPr>
                <w:rStyle w:val="Hyperlink"/>
                <w:noProof/>
              </w:rPr>
              <w:t>FACTOR 7: KNOWING AND WILLFUL ENGAGEMENT IN ACTS OR ACTIVITY DESIGNED TO OVERTHROW THE U.S. GOVERNMENT BY FORCE</w:t>
            </w:r>
            <w:r w:rsidR="008F10C7">
              <w:rPr>
                <w:noProof/>
                <w:webHidden/>
              </w:rPr>
              <w:tab/>
            </w:r>
            <w:r w:rsidR="008F10C7">
              <w:rPr>
                <w:noProof/>
                <w:webHidden/>
              </w:rPr>
              <w:fldChar w:fldCharType="begin"/>
            </w:r>
            <w:r w:rsidR="008F10C7">
              <w:rPr>
                <w:noProof/>
                <w:webHidden/>
              </w:rPr>
              <w:instrText xml:space="preserve"> PAGEREF _Toc187924150 \h </w:instrText>
            </w:r>
            <w:r w:rsidR="008F10C7">
              <w:rPr>
                <w:noProof/>
                <w:webHidden/>
              </w:rPr>
            </w:r>
            <w:r w:rsidR="008F10C7">
              <w:rPr>
                <w:noProof/>
                <w:webHidden/>
              </w:rPr>
              <w:fldChar w:fldCharType="separate"/>
            </w:r>
            <w:r w:rsidR="008F10C7">
              <w:rPr>
                <w:noProof/>
                <w:webHidden/>
              </w:rPr>
              <w:t>51</w:t>
            </w:r>
            <w:r w:rsidR="008F10C7">
              <w:rPr>
                <w:noProof/>
                <w:webHidden/>
              </w:rPr>
              <w:fldChar w:fldCharType="end"/>
            </w:r>
          </w:hyperlink>
        </w:p>
        <w:p w14:paraId="132153D9" w14:textId="71EB7EFE" w:rsidR="008F10C7" w:rsidRDefault="005E0ACB">
          <w:pPr>
            <w:pStyle w:val="TOC3"/>
            <w:tabs>
              <w:tab w:val="right" w:leader="dot" w:pos="9350"/>
            </w:tabs>
            <w:rPr>
              <w:rFonts w:asciiTheme="minorHAnsi" w:eastAsiaTheme="minorEastAsia" w:hAnsiTheme="minorHAnsi"/>
              <w:noProof/>
              <w:spacing w:val="0"/>
              <w:kern w:val="2"/>
              <w14:ligatures w14:val="standardContextual"/>
            </w:rPr>
          </w:pPr>
          <w:hyperlink w:anchor="_Toc187924151" w:history="1">
            <w:r w:rsidR="008F10C7" w:rsidRPr="00A8261A">
              <w:rPr>
                <w:rStyle w:val="Hyperlink"/>
                <w:noProof/>
              </w:rPr>
              <w:t>FACTOR 8: ANY STATUTORY OR REGULATORY BAR THAT PREVENTS THE LAWFUL EMPLOYMENT OF THE INDIVIDUAL IN THE POSITION IN QUESTION</w:t>
            </w:r>
            <w:r w:rsidR="008F10C7">
              <w:rPr>
                <w:noProof/>
                <w:webHidden/>
              </w:rPr>
              <w:tab/>
            </w:r>
            <w:r w:rsidR="008F10C7">
              <w:rPr>
                <w:noProof/>
                <w:webHidden/>
              </w:rPr>
              <w:fldChar w:fldCharType="begin"/>
            </w:r>
            <w:r w:rsidR="008F10C7">
              <w:rPr>
                <w:noProof/>
                <w:webHidden/>
              </w:rPr>
              <w:instrText xml:space="preserve"> PAGEREF _Toc187924151 \h </w:instrText>
            </w:r>
            <w:r w:rsidR="008F10C7">
              <w:rPr>
                <w:noProof/>
                <w:webHidden/>
              </w:rPr>
            </w:r>
            <w:r w:rsidR="008F10C7">
              <w:rPr>
                <w:noProof/>
                <w:webHidden/>
              </w:rPr>
              <w:fldChar w:fldCharType="separate"/>
            </w:r>
            <w:r w:rsidR="008F10C7">
              <w:rPr>
                <w:noProof/>
                <w:webHidden/>
              </w:rPr>
              <w:t>52</w:t>
            </w:r>
            <w:r w:rsidR="008F10C7">
              <w:rPr>
                <w:noProof/>
                <w:webHidden/>
              </w:rPr>
              <w:fldChar w:fldCharType="end"/>
            </w:r>
          </w:hyperlink>
        </w:p>
        <w:p w14:paraId="009A7950" w14:textId="629BEC5E" w:rsidR="008F10C7" w:rsidRDefault="005E0ACB">
          <w:pPr>
            <w:pStyle w:val="TOC3"/>
            <w:tabs>
              <w:tab w:val="right" w:leader="dot" w:pos="9350"/>
            </w:tabs>
            <w:rPr>
              <w:rFonts w:asciiTheme="minorHAnsi" w:eastAsiaTheme="minorEastAsia" w:hAnsiTheme="minorHAnsi"/>
              <w:noProof/>
              <w:spacing w:val="0"/>
              <w:kern w:val="2"/>
              <w14:ligatures w14:val="standardContextual"/>
            </w:rPr>
          </w:pPr>
          <w:hyperlink w:anchor="_Toc187924152" w:history="1">
            <w:r w:rsidR="008F10C7" w:rsidRPr="00A8261A">
              <w:rPr>
                <w:rStyle w:val="Hyperlink"/>
                <w:noProof/>
              </w:rPr>
              <w:t>FACTOR 9: VIOLENT CONDUCT</w:t>
            </w:r>
            <w:r w:rsidR="008F10C7">
              <w:rPr>
                <w:noProof/>
                <w:webHidden/>
              </w:rPr>
              <w:tab/>
            </w:r>
            <w:r w:rsidR="008F10C7">
              <w:rPr>
                <w:noProof/>
                <w:webHidden/>
              </w:rPr>
              <w:fldChar w:fldCharType="begin"/>
            </w:r>
            <w:r w:rsidR="008F10C7">
              <w:rPr>
                <w:noProof/>
                <w:webHidden/>
              </w:rPr>
              <w:instrText xml:space="preserve"> PAGEREF _Toc187924152 \h </w:instrText>
            </w:r>
            <w:r w:rsidR="008F10C7">
              <w:rPr>
                <w:noProof/>
                <w:webHidden/>
              </w:rPr>
            </w:r>
            <w:r w:rsidR="008F10C7">
              <w:rPr>
                <w:noProof/>
                <w:webHidden/>
              </w:rPr>
              <w:fldChar w:fldCharType="separate"/>
            </w:r>
            <w:r w:rsidR="008F10C7">
              <w:rPr>
                <w:noProof/>
                <w:webHidden/>
              </w:rPr>
              <w:t>52</w:t>
            </w:r>
            <w:r w:rsidR="008F10C7">
              <w:rPr>
                <w:noProof/>
                <w:webHidden/>
              </w:rPr>
              <w:fldChar w:fldCharType="end"/>
            </w:r>
          </w:hyperlink>
        </w:p>
        <w:p w14:paraId="412C9E7F" w14:textId="04129883" w:rsidR="008F10C7" w:rsidRDefault="005E0ACB">
          <w:pPr>
            <w:pStyle w:val="TOC2"/>
            <w:rPr>
              <w:rFonts w:asciiTheme="minorHAnsi" w:eastAsiaTheme="minorEastAsia" w:hAnsiTheme="minorHAnsi"/>
              <w:noProof/>
              <w:spacing w:val="0"/>
              <w:kern w:val="2"/>
              <w14:ligatures w14:val="standardContextual"/>
            </w:rPr>
          </w:pPr>
          <w:hyperlink w:anchor="_Toc187924153" w:history="1">
            <w:r w:rsidR="008F10C7" w:rsidRPr="00A8261A">
              <w:rPr>
                <w:rStyle w:val="Hyperlink"/>
                <w:noProof/>
              </w:rPr>
              <w:t>3.6 – Investigative Service Provider – Issue Characterization</w:t>
            </w:r>
            <w:r w:rsidR="008F10C7">
              <w:rPr>
                <w:noProof/>
                <w:webHidden/>
              </w:rPr>
              <w:tab/>
            </w:r>
            <w:r w:rsidR="008F10C7">
              <w:rPr>
                <w:noProof/>
                <w:webHidden/>
              </w:rPr>
              <w:fldChar w:fldCharType="begin"/>
            </w:r>
            <w:r w:rsidR="008F10C7">
              <w:rPr>
                <w:noProof/>
                <w:webHidden/>
              </w:rPr>
              <w:instrText xml:space="preserve"> PAGEREF _Toc187924153 \h </w:instrText>
            </w:r>
            <w:r w:rsidR="008F10C7">
              <w:rPr>
                <w:noProof/>
                <w:webHidden/>
              </w:rPr>
            </w:r>
            <w:r w:rsidR="008F10C7">
              <w:rPr>
                <w:noProof/>
                <w:webHidden/>
              </w:rPr>
              <w:fldChar w:fldCharType="separate"/>
            </w:r>
            <w:r w:rsidR="008F10C7">
              <w:rPr>
                <w:noProof/>
                <w:webHidden/>
              </w:rPr>
              <w:t>53</w:t>
            </w:r>
            <w:r w:rsidR="008F10C7">
              <w:rPr>
                <w:noProof/>
                <w:webHidden/>
              </w:rPr>
              <w:fldChar w:fldCharType="end"/>
            </w:r>
          </w:hyperlink>
        </w:p>
        <w:p w14:paraId="67C93CF6" w14:textId="2D031418" w:rsidR="008F10C7" w:rsidRDefault="005E0ACB">
          <w:pPr>
            <w:pStyle w:val="TOC2"/>
            <w:rPr>
              <w:rFonts w:asciiTheme="minorHAnsi" w:eastAsiaTheme="minorEastAsia" w:hAnsiTheme="minorHAnsi"/>
              <w:noProof/>
              <w:spacing w:val="0"/>
              <w:kern w:val="2"/>
              <w14:ligatures w14:val="standardContextual"/>
            </w:rPr>
          </w:pPr>
          <w:hyperlink w:anchor="_Toc187924154" w:history="1">
            <w:r w:rsidR="008F10C7" w:rsidRPr="00A8261A">
              <w:rPr>
                <w:rStyle w:val="Hyperlink"/>
                <w:noProof/>
              </w:rPr>
              <w:t>3.7 – Additional Considerations</w:t>
            </w:r>
            <w:r w:rsidR="008F10C7">
              <w:rPr>
                <w:noProof/>
                <w:webHidden/>
              </w:rPr>
              <w:tab/>
            </w:r>
            <w:r w:rsidR="008F10C7">
              <w:rPr>
                <w:noProof/>
                <w:webHidden/>
              </w:rPr>
              <w:fldChar w:fldCharType="begin"/>
            </w:r>
            <w:r w:rsidR="008F10C7">
              <w:rPr>
                <w:noProof/>
                <w:webHidden/>
              </w:rPr>
              <w:instrText xml:space="preserve"> PAGEREF _Toc187924154 \h </w:instrText>
            </w:r>
            <w:r w:rsidR="008F10C7">
              <w:rPr>
                <w:noProof/>
                <w:webHidden/>
              </w:rPr>
            </w:r>
            <w:r w:rsidR="008F10C7">
              <w:rPr>
                <w:noProof/>
                <w:webHidden/>
              </w:rPr>
              <w:fldChar w:fldCharType="separate"/>
            </w:r>
            <w:r w:rsidR="008F10C7">
              <w:rPr>
                <w:noProof/>
                <w:webHidden/>
              </w:rPr>
              <w:t>54</w:t>
            </w:r>
            <w:r w:rsidR="008F10C7">
              <w:rPr>
                <w:noProof/>
                <w:webHidden/>
              </w:rPr>
              <w:fldChar w:fldCharType="end"/>
            </w:r>
          </w:hyperlink>
        </w:p>
        <w:p w14:paraId="2E3491F8" w14:textId="77DF387A" w:rsidR="008F10C7" w:rsidRDefault="005E0ACB">
          <w:pPr>
            <w:pStyle w:val="TOC2"/>
            <w:rPr>
              <w:rFonts w:asciiTheme="minorHAnsi" w:eastAsiaTheme="minorEastAsia" w:hAnsiTheme="minorHAnsi"/>
              <w:noProof/>
              <w:spacing w:val="0"/>
              <w:kern w:val="2"/>
              <w14:ligatures w14:val="standardContextual"/>
            </w:rPr>
          </w:pPr>
          <w:hyperlink w:anchor="_Toc187924155" w:history="1">
            <w:r w:rsidR="008F10C7" w:rsidRPr="00A8261A">
              <w:rPr>
                <w:rStyle w:val="Hyperlink"/>
                <w:noProof/>
              </w:rPr>
              <w:t>3.8 – Adjudicative Determination Process Guide</w:t>
            </w:r>
            <w:r w:rsidR="008F10C7">
              <w:rPr>
                <w:noProof/>
                <w:webHidden/>
              </w:rPr>
              <w:tab/>
            </w:r>
            <w:r w:rsidR="008F10C7">
              <w:rPr>
                <w:noProof/>
                <w:webHidden/>
              </w:rPr>
              <w:fldChar w:fldCharType="begin"/>
            </w:r>
            <w:r w:rsidR="008F10C7">
              <w:rPr>
                <w:noProof/>
                <w:webHidden/>
              </w:rPr>
              <w:instrText xml:space="preserve"> PAGEREF _Toc187924155 \h </w:instrText>
            </w:r>
            <w:r w:rsidR="008F10C7">
              <w:rPr>
                <w:noProof/>
                <w:webHidden/>
              </w:rPr>
            </w:r>
            <w:r w:rsidR="008F10C7">
              <w:rPr>
                <w:noProof/>
                <w:webHidden/>
              </w:rPr>
              <w:fldChar w:fldCharType="separate"/>
            </w:r>
            <w:r w:rsidR="008F10C7">
              <w:rPr>
                <w:noProof/>
                <w:webHidden/>
              </w:rPr>
              <w:t>56</w:t>
            </w:r>
            <w:r w:rsidR="008F10C7">
              <w:rPr>
                <w:noProof/>
                <w:webHidden/>
              </w:rPr>
              <w:fldChar w:fldCharType="end"/>
            </w:r>
          </w:hyperlink>
        </w:p>
        <w:p w14:paraId="31D0A073" w14:textId="1C46128C" w:rsidR="008F10C7" w:rsidRDefault="005E0ACB">
          <w:pPr>
            <w:pStyle w:val="TOC3"/>
            <w:tabs>
              <w:tab w:val="right" w:leader="dot" w:pos="9350"/>
            </w:tabs>
            <w:rPr>
              <w:rFonts w:asciiTheme="minorHAnsi" w:eastAsiaTheme="minorEastAsia" w:hAnsiTheme="minorHAnsi"/>
              <w:noProof/>
              <w:spacing w:val="0"/>
              <w:kern w:val="2"/>
              <w14:ligatures w14:val="standardContextual"/>
            </w:rPr>
          </w:pPr>
          <w:hyperlink w:anchor="_Toc187924156" w:history="1">
            <w:r w:rsidR="008F10C7" w:rsidRPr="00A8261A">
              <w:rPr>
                <w:rStyle w:val="Hyperlink"/>
                <w:noProof/>
              </w:rPr>
              <w:t>3.8.1 – Adjudicative Determination – Issues of Concern Remain</w:t>
            </w:r>
            <w:r w:rsidR="008F10C7">
              <w:rPr>
                <w:noProof/>
                <w:webHidden/>
              </w:rPr>
              <w:tab/>
            </w:r>
            <w:r w:rsidR="008F10C7">
              <w:rPr>
                <w:noProof/>
                <w:webHidden/>
              </w:rPr>
              <w:fldChar w:fldCharType="begin"/>
            </w:r>
            <w:r w:rsidR="008F10C7">
              <w:rPr>
                <w:noProof/>
                <w:webHidden/>
              </w:rPr>
              <w:instrText xml:space="preserve"> PAGEREF _Toc187924156 \h </w:instrText>
            </w:r>
            <w:r w:rsidR="008F10C7">
              <w:rPr>
                <w:noProof/>
                <w:webHidden/>
              </w:rPr>
            </w:r>
            <w:r w:rsidR="008F10C7">
              <w:rPr>
                <w:noProof/>
                <w:webHidden/>
              </w:rPr>
              <w:fldChar w:fldCharType="separate"/>
            </w:r>
            <w:r w:rsidR="008F10C7">
              <w:rPr>
                <w:noProof/>
                <w:webHidden/>
              </w:rPr>
              <w:t>58</w:t>
            </w:r>
            <w:r w:rsidR="008F10C7">
              <w:rPr>
                <w:noProof/>
                <w:webHidden/>
              </w:rPr>
              <w:fldChar w:fldCharType="end"/>
            </w:r>
          </w:hyperlink>
        </w:p>
        <w:p w14:paraId="2BA82EF3" w14:textId="60AD6255" w:rsidR="008F10C7" w:rsidRDefault="005E0ACB">
          <w:pPr>
            <w:pStyle w:val="TOC3"/>
            <w:tabs>
              <w:tab w:val="right" w:leader="dot" w:pos="9350"/>
            </w:tabs>
            <w:rPr>
              <w:rFonts w:asciiTheme="minorHAnsi" w:eastAsiaTheme="minorEastAsia" w:hAnsiTheme="minorHAnsi"/>
              <w:noProof/>
              <w:spacing w:val="0"/>
              <w:kern w:val="2"/>
              <w14:ligatures w14:val="standardContextual"/>
            </w:rPr>
          </w:pPr>
          <w:hyperlink w:anchor="_Toc187924157" w:history="1">
            <w:r w:rsidR="008F10C7" w:rsidRPr="00A8261A">
              <w:rPr>
                <w:rStyle w:val="Hyperlink"/>
                <w:bCs/>
                <w:noProof/>
                <w:color w:val="023160" w:themeColor="hyperlink" w:themeShade="80"/>
              </w:rPr>
              <w:t>3.8.2 – Making Referrals to OPM-SuitEA</w:t>
            </w:r>
            <w:r w:rsidR="008F10C7">
              <w:rPr>
                <w:noProof/>
                <w:webHidden/>
              </w:rPr>
              <w:tab/>
            </w:r>
            <w:r w:rsidR="008F10C7">
              <w:rPr>
                <w:noProof/>
                <w:webHidden/>
              </w:rPr>
              <w:fldChar w:fldCharType="begin"/>
            </w:r>
            <w:r w:rsidR="008F10C7">
              <w:rPr>
                <w:noProof/>
                <w:webHidden/>
              </w:rPr>
              <w:instrText xml:space="preserve"> PAGEREF _Toc187924157 \h </w:instrText>
            </w:r>
            <w:r w:rsidR="008F10C7">
              <w:rPr>
                <w:noProof/>
                <w:webHidden/>
              </w:rPr>
            </w:r>
            <w:r w:rsidR="008F10C7">
              <w:rPr>
                <w:noProof/>
                <w:webHidden/>
              </w:rPr>
              <w:fldChar w:fldCharType="separate"/>
            </w:r>
            <w:r w:rsidR="008F10C7">
              <w:rPr>
                <w:noProof/>
                <w:webHidden/>
              </w:rPr>
              <w:t>60</w:t>
            </w:r>
            <w:r w:rsidR="008F10C7">
              <w:rPr>
                <w:noProof/>
                <w:webHidden/>
              </w:rPr>
              <w:fldChar w:fldCharType="end"/>
            </w:r>
          </w:hyperlink>
        </w:p>
        <w:p w14:paraId="6E1DEB94" w14:textId="691BDC10" w:rsidR="008F10C7" w:rsidRDefault="005E0ACB">
          <w:pPr>
            <w:pStyle w:val="TOC2"/>
            <w:rPr>
              <w:rFonts w:asciiTheme="minorHAnsi" w:eastAsiaTheme="minorEastAsia" w:hAnsiTheme="minorHAnsi"/>
              <w:noProof/>
              <w:spacing w:val="0"/>
              <w:kern w:val="2"/>
              <w14:ligatures w14:val="standardContextual"/>
            </w:rPr>
          </w:pPr>
          <w:hyperlink w:anchor="_Toc187924158" w:history="1">
            <w:r w:rsidR="008F10C7" w:rsidRPr="00A8261A">
              <w:rPr>
                <w:rStyle w:val="Hyperlink"/>
                <w:noProof/>
              </w:rPr>
              <w:t>3.9 – Granting Personal Identity Verification Credentials from a Favorable Suitability/Fitness Determination</w:t>
            </w:r>
            <w:r w:rsidR="008F10C7">
              <w:rPr>
                <w:noProof/>
                <w:webHidden/>
              </w:rPr>
              <w:tab/>
            </w:r>
            <w:r w:rsidR="008F10C7">
              <w:rPr>
                <w:noProof/>
                <w:webHidden/>
              </w:rPr>
              <w:fldChar w:fldCharType="begin"/>
            </w:r>
            <w:r w:rsidR="008F10C7">
              <w:rPr>
                <w:noProof/>
                <w:webHidden/>
              </w:rPr>
              <w:instrText xml:space="preserve"> PAGEREF _Toc187924158 \h </w:instrText>
            </w:r>
            <w:r w:rsidR="008F10C7">
              <w:rPr>
                <w:noProof/>
                <w:webHidden/>
              </w:rPr>
            </w:r>
            <w:r w:rsidR="008F10C7">
              <w:rPr>
                <w:noProof/>
                <w:webHidden/>
              </w:rPr>
              <w:fldChar w:fldCharType="separate"/>
            </w:r>
            <w:r w:rsidR="008F10C7">
              <w:rPr>
                <w:noProof/>
                <w:webHidden/>
              </w:rPr>
              <w:t>61</w:t>
            </w:r>
            <w:r w:rsidR="008F10C7">
              <w:rPr>
                <w:noProof/>
                <w:webHidden/>
              </w:rPr>
              <w:fldChar w:fldCharType="end"/>
            </w:r>
          </w:hyperlink>
        </w:p>
        <w:p w14:paraId="0CE37BAA" w14:textId="345AC211" w:rsidR="008F10C7" w:rsidRDefault="005E0ACB">
          <w:pPr>
            <w:pStyle w:val="TOC1"/>
            <w:tabs>
              <w:tab w:val="right" w:leader="dot" w:pos="9350"/>
            </w:tabs>
            <w:rPr>
              <w:rFonts w:asciiTheme="minorHAnsi" w:eastAsiaTheme="minorEastAsia" w:hAnsiTheme="minorHAnsi"/>
              <w:b w:val="0"/>
              <w:noProof/>
              <w:spacing w:val="0"/>
              <w:kern w:val="2"/>
              <w14:ligatures w14:val="standardContextual"/>
            </w:rPr>
          </w:pPr>
          <w:hyperlink w:anchor="_Toc187924159" w:history="1">
            <w:r w:rsidR="008F10C7" w:rsidRPr="00A8261A">
              <w:rPr>
                <w:rStyle w:val="Hyperlink"/>
                <w:noProof/>
              </w:rPr>
              <w:t>Volume 4:</w:t>
            </w:r>
            <w:r w:rsidR="008F10C7" w:rsidRPr="00A8261A">
              <w:rPr>
                <w:rStyle w:val="Hyperlink"/>
                <w:noProof/>
                <w:spacing w:val="-15"/>
              </w:rPr>
              <w:t xml:space="preserve"> </w:t>
            </w:r>
            <w:r w:rsidR="008F10C7" w:rsidRPr="00A8261A">
              <w:rPr>
                <w:rStyle w:val="Hyperlink"/>
                <w:noProof/>
                <w:spacing w:val="-1"/>
              </w:rPr>
              <w:t xml:space="preserve"> </w:t>
            </w:r>
            <w:r w:rsidR="008F10C7" w:rsidRPr="00A8261A">
              <w:rPr>
                <w:rStyle w:val="Hyperlink"/>
                <w:rFonts w:cs="Arial"/>
                <w:noProof/>
              </w:rPr>
              <w:t>Screening</w:t>
            </w:r>
            <w:r w:rsidR="008F10C7">
              <w:rPr>
                <w:noProof/>
                <w:webHidden/>
              </w:rPr>
              <w:tab/>
            </w:r>
            <w:r w:rsidR="008F10C7">
              <w:rPr>
                <w:noProof/>
                <w:webHidden/>
              </w:rPr>
              <w:fldChar w:fldCharType="begin"/>
            </w:r>
            <w:r w:rsidR="008F10C7">
              <w:rPr>
                <w:noProof/>
                <w:webHidden/>
              </w:rPr>
              <w:instrText xml:space="preserve"> PAGEREF _Toc187924159 \h </w:instrText>
            </w:r>
            <w:r w:rsidR="008F10C7">
              <w:rPr>
                <w:noProof/>
                <w:webHidden/>
              </w:rPr>
            </w:r>
            <w:r w:rsidR="008F10C7">
              <w:rPr>
                <w:noProof/>
                <w:webHidden/>
              </w:rPr>
              <w:fldChar w:fldCharType="separate"/>
            </w:r>
            <w:r w:rsidR="008F10C7">
              <w:rPr>
                <w:noProof/>
                <w:webHidden/>
              </w:rPr>
              <w:t>62</w:t>
            </w:r>
            <w:r w:rsidR="008F10C7">
              <w:rPr>
                <w:noProof/>
                <w:webHidden/>
              </w:rPr>
              <w:fldChar w:fldCharType="end"/>
            </w:r>
          </w:hyperlink>
        </w:p>
        <w:p w14:paraId="0E0BD5A5" w14:textId="6001049B" w:rsidR="008F10C7" w:rsidRDefault="005E0ACB">
          <w:pPr>
            <w:pStyle w:val="TOC2"/>
            <w:rPr>
              <w:rFonts w:asciiTheme="minorHAnsi" w:eastAsiaTheme="minorEastAsia" w:hAnsiTheme="minorHAnsi"/>
              <w:noProof/>
              <w:spacing w:val="0"/>
              <w:kern w:val="2"/>
              <w14:ligatures w14:val="standardContextual"/>
            </w:rPr>
          </w:pPr>
          <w:hyperlink w:anchor="_Toc187924160" w:history="1">
            <w:r w:rsidR="008F10C7" w:rsidRPr="00A8261A">
              <w:rPr>
                <w:rStyle w:val="Hyperlink"/>
                <w:noProof/>
                <w:shd w:val="clear" w:color="auto" w:fill="FFFFFF"/>
              </w:rPr>
              <w:t>4.1 – Introduction-Screening</w:t>
            </w:r>
            <w:r w:rsidR="008F10C7">
              <w:rPr>
                <w:noProof/>
                <w:webHidden/>
              </w:rPr>
              <w:tab/>
            </w:r>
            <w:r w:rsidR="008F10C7">
              <w:rPr>
                <w:noProof/>
                <w:webHidden/>
              </w:rPr>
              <w:fldChar w:fldCharType="begin"/>
            </w:r>
            <w:r w:rsidR="008F10C7">
              <w:rPr>
                <w:noProof/>
                <w:webHidden/>
              </w:rPr>
              <w:instrText xml:space="preserve"> PAGEREF _Toc187924160 \h </w:instrText>
            </w:r>
            <w:r w:rsidR="008F10C7">
              <w:rPr>
                <w:noProof/>
                <w:webHidden/>
              </w:rPr>
            </w:r>
            <w:r w:rsidR="008F10C7">
              <w:rPr>
                <w:noProof/>
                <w:webHidden/>
              </w:rPr>
              <w:fldChar w:fldCharType="separate"/>
            </w:r>
            <w:r w:rsidR="008F10C7">
              <w:rPr>
                <w:noProof/>
                <w:webHidden/>
              </w:rPr>
              <w:t>63</w:t>
            </w:r>
            <w:r w:rsidR="008F10C7">
              <w:rPr>
                <w:noProof/>
                <w:webHidden/>
              </w:rPr>
              <w:fldChar w:fldCharType="end"/>
            </w:r>
          </w:hyperlink>
        </w:p>
        <w:p w14:paraId="770FC6D9" w14:textId="57F64EA3" w:rsidR="008F10C7" w:rsidRDefault="005E0ACB">
          <w:pPr>
            <w:pStyle w:val="TOC2"/>
            <w:rPr>
              <w:rFonts w:asciiTheme="minorHAnsi" w:eastAsiaTheme="minorEastAsia" w:hAnsiTheme="minorHAnsi"/>
              <w:noProof/>
              <w:spacing w:val="0"/>
              <w:kern w:val="2"/>
              <w14:ligatures w14:val="standardContextual"/>
            </w:rPr>
          </w:pPr>
          <w:hyperlink w:anchor="_Toc187924161" w:history="1">
            <w:r w:rsidR="008F10C7" w:rsidRPr="00A8261A">
              <w:rPr>
                <w:rStyle w:val="Hyperlink"/>
                <w:noProof/>
                <w:shd w:val="clear" w:color="auto" w:fill="FFFFFF"/>
              </w:rPr>
              <w:t>4.2 – Criminal History Information</w:t>
            </w:r>
            <w:r w:rsidR="008F10C7">
              <w:rPr>
                <w:noProof/>
                <w:webHidden/>
              </w:rPr>
              <w:tab/>
            </w:r>
            <w:r w:rsidR="008F10C7">
              <w:rPr>
                <w:noProof/>
                <w:webHidden/>
              </w:rPr>
              <w:fldChar w:fldCharType="begin"/>
            </w:r>
            <w:r w:rsidR="008F10C7">
              <w:rPr>
                <w:noProof/>
                <w:webHidden/>
              </w:rPr>
              <w:instrText xml:space="preserve"> PAGEREF _Toc187924161 \h </w:instrText>
            </w:r>
            <w:r w:rsidR="008F10C7">
              <w:rPr>
                <w:noProof/>
                <w:webHidden/>
              </w:rPr>
            </w:r>
            <w:r w:rsidR="008F10C7">
              <w:rPr>
                <w:noProof/>
                <w:webHidden/>
              </w:rPr>
              <w:fldChar w:fldCharType="separate"/>
            </w:r>
            <w:r w:rsidR="008F10C7">
              <w:rPr>
                <w:noProof/>
                <w:webHidden/>
              </w:rPr>
              <w:t>63</w:t>
            </w:r>
            <w:r w:rsidR="008F10C7">
              <w:rPr>
                <w:noProof/>
                <w:webHidden/>
              </w:rPr>
              <w:fldChar w:fldCharType="end"/>
            </w:r>
          </w:hyperlink>
        </w:p>
        <w:p w14:paraId="334C5D9B" w14:textId="2E74536F" w:rsidR="008F10C7" w:rsidRDefault="005E0ACB">
          <w:pPr>
            <w:pStyle w:val="TOC2"/>
            <w:rPr>
              <w:rFonts w:asciiTheme="minorHAnsi" w:eastAsiaTheme="minorEastAsia" w:hAnsiTheme="minorHAnsi"/>
              <w:noProof/>
              <w:spacing w:val="0"/>
              <w:kern w:val="2"/>
              <w14:ligatures w14:val="standardContextual"/>
            </w:rPr>
          </w:pPr>
          <w:hyperlink w:anchor="_Toc187924162" w:history="1">
            <w:r w:rsidR="008F10C7" w:rsidRPr="00A8261A">
              <w:rPr>
                <w:rStyle w:val="Hyperlink"/>
                <w:noProof/>
                <w:shd w:val="clear" w:color="auto" w:fill="FFFFFF"/>
              </w:rPr>
              <w:t>4.3 – Credit History</w:t>
            </w:r>
            <w:r w:rsidR="008F10C7">
              <w:rPr>
                <w:noProof/>
                <w:webHidden/>
              </w:rPr>
              <w:tab/>
            </w:r>
            <w:r w:rsidR="008F10C7">
              <w:rPr>
                <w:noProof/>
                <w:webHidden/>
              </w:rPr>
              <w:fldChar w:fldCharType="begin"/>
            </w:r>
            <w:r w:rsidR="008F10C7">
              <w:rPr>
                <w:noProof/>
                <w:webHidden/>
              </w:rPr>
              <w:instrText xml:space="preserve"> PAGEREF _Toc187924162 \h </w:instrText>
            </w:r>
            <w:r w:rsidR="008F10C7">
              <w:rPr>
                <w:noProof/>
                <w:webHidden/>
              </w:rPr>
            </w:r>
            <w:r w:rsidR="008F10C7">
              <w:rPr>
                <w:noProof/>
                <w:webHidden/>
              </w:rPr>
              <w:fldChar w:fldCharType="separate"/>
            </w:r>
            <w:r w:rsidR="008F10C7">
              <w:rPr>
                <w:noProof/>
                <w:webHidden/>
              </w:rPr>
              <w:t>64</w:t>
            </w:r>
            <w:r w:rsidR="008F10C7">
              <w:rPr>
                <w:noProof/>
                <w:webHidden/>
              </w:rPr>
              <w:fldChar w:fldCharType="end"/>
            </w:r>
          </w:hyperlink>
        </w:p>
        <w:p w14:paraId="13AFD702" w14:textId="3028689B" w:rsidR="008F10C7" w:rsidRDefault="005E0ACB">
          <w:pPr>
            <w:pStyle w:val="TOC2"/>
            <w:rPr>
              <w:rFonts w:asciiTheme="minorHAnsi" w:eastAsiaTheme="minorEastAsia" w:hAnsiTheme="minorHAnsi"/>
              <w:noProof/>
              <w:spacing w:val="0"/>
              <w:kern w:val="2"/>
              <w14:ligatures w14:val="standardContextual"/>
            </w:rPr>
          </w:pPr>
          <w:hyperlink w:anchor="_Toc187924163" w:history="1">
            <w:r w:rsidR="008F10C7" w:rsidRPr="00A8261A">
              <w:rPr>
                <w:rStyle w:val="Hyperlink"/>
                <w:noProof/>
                <w:shd w:val="clear" w:color="auto" w:fill="FFFFFF"/>
              </w:rPr>
              <w:t>4.4 – Required Pre-employment Checks</w:t>
            </w:r>
            <w:r w:rsidR="008F10C7">
              <w:rPr>
                <w:noProof/>
                <w:webHidden/>
              </w:rPr>
              <w:tab/>
            </w:r>
            <w:r w:rsidR="008F10C7">
              <w:rPr>
                <w:noProof/>
                <w:webHidden/>
              </w:rPr>
              <w:fldChar w:fldCharType="begin"/>
            </w:r>
            <w:r w:rsidR="008F10C7">
              <w:rPr>
                <w:noProof/>
                <w:webHidden/>
              </w:rPr>
              <w:instrText xml:space="preserve"> PAGEREF _Toc187924163 \h </w:instrText>
            </w:r>
            <w:r w:rsidR="008F10C7">
              <w:rPr>
                <w:noProof/>
                <w:webHidden/>
              </w:rPr>
            </w:r>
            <w:r w:rsidR="008F10C7">
              <w:rPr>
                <w:noProof/>
                <w:webHidden/>
              </w:rPr>
              <w:fldChar w:fldCharType="separate"/>
            </w:r>
            <w:r w:rsidR="008F10C7">
              <w:rPr>
                <w:noProof/>
                <w:webHidden/>
              </w:rPr>
              <w:t>64</w:t>
            </w:r>
            <w:r w:rsidR="008F10C7">
              <w:rPr>
                <w:noProof/>
                <w:webHidden/>
              </w:rPr>
              <w:fldChar w:fldCharType="end"/>
            </w:r>
          </w:hyperlink>
        </w:p>
        <w:p w14:paraId="5BD81714" w14:textId="5E8F647B" w:rsidR="008F10C7" w:rsidRDefault="005E0ACB">
          <w:pPr>
            <w:pStyle w:val="TOC2"/>
            <w:rPr>
              <w:rFonts w:asciiTheme="minorHAnsi" w:eastAsiaTheme="minorEastAsia" w:hAnsiTheme="minorHAnsi"/>
              <w:noProof/>
              <w:spacing w:val="0"/>
              <w:kern w:val="2"/>
              <w14:ligatures w14:val="standardContextual"/>
            </w:rPr>
          </w:pPr>
          <w:hyperlink w:anchor="_Toc187924164" w:history="1">
            <w:r w:rsidR="008F10C7" w:rsidRPr="00A8261A">
              <w:rPr>
                <w:rStyle w:val="Hyperlink"/>
                <w:noProof/>
                <w:shd w:val="clear" w:color="auto" w:fill="FFFFFF"/>
              </w:rPr>
              <w:t>4.5 – Screening Process</w:t>
            </w:r>
            <w:r w:rsidR="008F10C7">
              <w:rPr>
                <w:noProof/>
                <w:webHidden/>
              </w:rPr>
              <w:tab/>
            </w:r>
            <w:r w:rsidR="008F10C7">
              <w:rPr>
                <w:noProof/>
                <w:webHidden/>
              </w:rPr>
              <w:fldChar w:fldCharType="begin"/>
            </w:r>
            <w:r w:rsidR="008F10C7">
              <w:rPr>
                <w:noProof/>
                <w:webHidden/>
              </w:rPr>
              <w:instrText xml:space="preserve"> PAGEREF _Toc187924164 \h </w:instrText>
            </w:r>
            <w:r w:rsidR="008F10C7">
              <w:rPr>
                <w:noProof/>
                <w:webHidden/>
              </w:rPr>
            </w:r>
            <w:r w:rsidR="008F10C7">
              <w:rPr>
                <w:noProof/>
                <w:webHidden/>
              </w:rPr>
              <w:fldChar w:fldCharType="separate"/>
            </w:r>
            <w:r w:rsidR="008F10C7">
              <w:rPr>
                <w:noProof/>
                <w:webHidden/>
              </w:rPr>
              <w:t>64</w:t>
            </w:r>
            <w:r w:rsidR="008F10C7">
              <w:rPr>
                <w:noProof/>
                <w:webHidden/>
              </w:rPr>
              <w:fldChar w:fldCharType="end"/>
            </w:r>
          </w:hyperlink>
        </w:p>
        <w:p w14:paraId="0BFA52AE" w14:textId="0F5E49F4" w:rsidR="008F10C7" w:rsidRDefault="005E0ACB">
          <w:pPr>
            <w:pStyle w:val="TOC2"/>
            <w:rPr>
              <w:rFonts w:asciiTheme="minorHAnsi" w:eastAsiaTheme="minorEastAsia" w:hAnsiTheme="minorHAnsi"/>
              <w:noProof/>
              <w:spacing w:val="0"/>
              <w:kern w:val="2"/>
              <w14:ligatures w14:val="standardContextual"/>
            </w:rPr>
          </w:pPr>
          <w:hyperlink w:anchor="_Toc187924165" w:history="1">
            <w:r w:rsidR="008F10C7" w:rsidRPr="00A8261A">
              <w:rPr>
                <w:rStyle w:val="Hyperlink"/>
                <w:noProof/>
                <w:shd w:val="clear" w:color="auto" w:fill="FFFFFF"/>
              </w:rPr>
              <w:t>4.6 – Adjudicative Processing of Uninvestigated Applicants</w:t>
            </w:r>
            <w:r w:rsidR="008F10C7">
              <w:rPr>
                <w:noProof/>
                <w:webHidden/>
              </w:rPr>
              <w:tab/>
            </w:r>
            <w:r w:rsidR="008F10C7">
              <w:rPr>
                <w:noProof/>
                <w:webHidden/>
              </w:rPr>
              <w:fldChar w:fldCharType="begin"/>
            </w:r>
            <w:r w:rsidR="008F10C7">
              <w:rPr>
                <w:noProof/>
                <w:webHidden/>
              </w:rPr>
              <w:instrText xml:space="preserve"> PAGEREF _Toc187924165 \h </w:instrText>
            </w:r>
            <w:r w:rsidR="008F10C7">
              <w:rPr>
                <w:noProof/>
                <w:webHidden/>
              </w:rPr>
            </w:r>
            <w:r w:rsidR="008F10C7">
              <w:rPr>
                <w:noProof/>
                <w:webHidden/>
              </w:rPr>
              <w:fldChar w:fldCharType="separate"/>
            </w:r>
            <w:r w:rsidR="008F10C7">
              <w:rPr>
                <w:noProof/>
                <w:webHidden/>
              </w:rPr>
              <w:t>68</w:t>
            </w:r>
            <w:r w:rsidR="008F10C7">
              <w:rPr>
                <w:noProof/>
                <w:webHidden/>
              </w:rPr>
              <w:fldChar w:fldCharType="end"/>
            </w:r>
          </w:hyperlink>
        </w:p>
        <w:p w14:paraId="1D428CB8" w14:textId="594047AC" w:rsidR="008F10C7" w:rsidRDefault="005E0ACB">
          <w:pPr>
            <w:pStyle w:val="TOC3"/>
            <w:tabs>
              <w:tab w:val="right" w:leader="dot" w:pos="9350"/>
            </w:tabs>
            <w:rPr>
              <w:rFonts w:asciiTheme="minorHAnsi" w:eastAsiaTheme="minorEastAsia" w:hAnsiTheme="minorHAnsi"/>
              <w:noProof/>
              <w:spacing w:val="0"/>
              <w:kern w:val="2"/>
              <w14:ligatures w14:val="standardContextual"/>
            </w:rPr>
          </w:pPr>
          <w:hyperlink w:anchor="_Toc187924166" w:history="1">
            <w:r w:rsidR="008F10C7" w:rsidRPr="00A8261A">
              <w:rPr>
                <w:rStyle w:val="Hyperlink"/>
                <w:noProof/>
                <w:shd w:val="clear" w:color="auto" w:fill="FFFFFF"/>
              </w:rPr>
              <w:t>4.6.1 – No Issues of Concern</w:t>
            </w:r>
            <w:r w:rsidR="008F10C7">
              <w:rPr>
                <w:noProof/>
                <w:webHidden/>
              </w:rPr>
              <w:tab/>
            </w:r>
            <w:r w:rsidR="008F10C7">
              <w:rPr>
                <w:noProof/>
                <w:webHidden/>
              </w:rPr>
              <w:fldChar w:fldCharType="begin"/>
            </w:r>
            <w:r w:rsidR="008F10C7">
              <w:rPr>
                <w:noProof/>
                <w:webHidden/>
              </w:rPr>
              <w:instrText xml:space="preserve"> PAGEREF _Toc187924166 \h </w:instrText>
            </w:r>
            <w:r w:rsidR="008F10C7">
              <w:rPr>
                <w:noProof/>
                <w:webHidden/>
              </w:rPr>
            </w:r>
            <w:r w:rsidR="008F10C7">
              <w:rPr>
                <w:noProof/>
                <w:webHidden/>
              </w:rPr>
              <w:fldChar w:fldCharType="separate"/>
            </w:r>
            <w:r w:rsidR="008F10C7">
              <w:rPr>
                <w:noProof/>
                <w:webHidden/>
              </w:rPr>
              <w:t>69</w:t>
            </w:r>
            <w:r w:rsidR="008F10C7">
              <w:rPr>
                <w:noProof/>
                <w:webHidden/>
              </w:rPr>
              <w:fldChar w:fldCharType="end"/>
            </w:r>
          </w:hyperlink>
        </w:p>
        <w:p w14:paraId="1D1D2877" w14:textId="6C705225" w:rsidR="008F10C7" w:rsidRDefault="005E0ACB">
          <w:pPr>
            <w:pStyle w:val="TOC3"/>
            <w:tabs>
              <w:tab w:val="right" w:leader="dot" w:pos="9350"/>
            </w:tabs>
            <w:rPr>
              <w:rFonts w:asciiTheme="minorHAnsi" w:eastAsiaTheme="minorEastAsia" w:hAnsiTheme="minorHAnsi"/>
              <w:noProof/>
              <w:spacing w:val="0"/>
              <w:kern w:val="2"/>
              <w14:ligatures w14:val="standardContextual"/>
            </w:rPr>
          </w:pPr>
          <w:hyperlink w:anchor="_Toc187924167" w:history="1">
            <w:r w:rsidR="008F10C7" w:rsidRPr="00A8261A">
              <w:rPr>
                <w:rStyle w:val="Hyperlink"/>
                <w:noProof/>
                <w:shd w:val="clear" w:color="auto" w:fill="FFFFFF"/>
              </w:rPr>
              <w:t>4.6.2 – Negative Pre-Employment Suitability or Fitness Determinations</w:t>
            </w:r>
            <w:r w:rsidR="008F10C7">
              <w:rPr>
                <w:noProof/>
                <w:webHidden/>
              </w:rPr>
              <w:tab/>
            </w:r>
            <w:r w:rsidR="008F10C7">
              <w:rPr>
                <w:noProof/>
                <w:webHidden/>
              </w:rPr>
              <w:fldChar w:fldCharType="begin"/>
            </w:r>
            <w:r w:rsidR="008F10C7">
              <w:rPr>
                <w:noProof/>
                <w:webHidden/>
              </w:rPr>
              <w:instrText xml:space="preserve"> PAGEREF _Toc187924167 \h </w:instrText>
            </w:r>
            <w:r w:rsidR="008F10C7">
              <w:rPr>
                <w:noProof/>
                <w:webHidden/>
              </w:rPr>
            </w:r>
            <w:r w:rsidR="008F10C7">
              <w:rPr>
                <w:noProof/>
                <w:webHidden/>
              </w:rPr>
              <w:fldChar w:fldCharType="separate"/>
            </w:r>
            <w:r w:rsidR="008F10C7">
              <w:rPr>
                <w:noProof/>
                <w:webHidden/>
              </w:rPr>
              <w:t>70</w:t>
            </w:r>
            <w:r w:rsidR="008F10C7">
              <w:rPr>
                <w:noProof/>
                <w:webHidden/>
              </w:rPr>
              <w:fldChar w:fldCharType="end"/>
            </w:r>
          </w:hyperlink>
        </w:p>
        <w:p w14:paraId="02A62ADC" w14:textId="69170995" w:rsidR="008F10C7" w:rsidRDefault="005E0ACB">
          <w:pPr>
            <w:pStyle w:val="TOC1"/>
            <w:tabs>
              <w:tab w:val="right" w:leader="dot" w:pos="9350"/>
            </w:tabs>
            <w:rPr>
              <w:rFonts w:asciiTheme="minorHAnsi" w:eastAsiaTheme="minorEastAsia" w:hAnsiTheme="minorHAnsi"/>
              <w:b w:val="0"/>
              <w:noProof/>
              <w:spacing w:val="0"/>
              <w:kern w:val="2"/>
              <w14:ligatures w14:val="standardContextual"/>
            </w:rPr>
          </w:pPr>
          <w:hyperlink w:anchor="_Toc187924168" w:history="1">
            <w:r w:rsidR="008F10C7" w:rsidRPr="00A8261A">
              <w:rPr>
                <w:rStyle w:val="Hyperlink"/>
                <w:noProof/>
              </w:rPr>
              <w:t>Volume 5:</w:t>
            </w:r>
            <w:r w:rsidR="008F10C7" w:rsidRPr="00A8261A">
              <w:rPr>
                <w:rStyle w:val="Hyperlink"/>
                <w:noProof/>
                <w:spacing w:val="-15"/>
              </w:rPr>
              <w:t xml:space="preserve"> </w:t>
            </w:r>
            <w:r w:rsidR="008F10C7" w:rsidRPr="00A8261A">
              <w:rPr>
                <w:rStyle w:val="Hyperlink"/>
                <w:noProof/>
                <w:spacing w:val="-1"/>
              </w:rPr>
              <w:t xml:space="preserve"> </w:t>
            </w:r>
            <w:r w:rsidR="008F10C7" w:rsidRPr="00A8261A">
              <w:rPr>
                <w:rStyle w:val="Hyperlink"/>
                <w:noProof/>
              </w:rPr>
              <w:t>Processing Suitability Actions</w:t>
            </w:r>
            <w:r w:rsidR="008F10C7">
              <w:rPr>
                <w:noProof/>
                <w:webHidden/>
              </w:rPr>
              <w:tab/>
            </w:r>
            <w:r w:rsidR="008F10C7">
              <w:rPr>
                <w:noProof/>
                <w:webHidden/>
              </w:rPr>
              <w:fldChar w:fldCharType="begin"/>
            </w:r>
            <w:r w:rsidR="008F10C7">
              <w:rPr>
                <w:noProof/>
                <w:webHidden/>
              </w:rPr>
              <w:instrText xml:space="preserve"> PAGEREF _Toc187924168 \h </w:instrText>
            </w:r>
            <w:r w:rsidR="008F10C7">
              <w:rPr>
                <w:noProof/>
                <w:webHidden/>
              </w:rPr>
            </w:r>
            <w:r w:rsidR="008F10C7">
              <w:rPr>
                <w:noProof/>
                <w:webHidden/>
              </w:rPr>
              <w:fldChar w:fldCharType="separate"/>
            </w:r>
            <w:r w:rsidR="008F10C7">
              <w:rPr>
                <w:noProof/>
                <w:webHidden/>
              </w:rPr>
              <w:t>71</w:t>
            </w:r>
            <w:r w:rsidR="008F10C7">
              <w:rPr>
                <w:noProof/>
                <w:webHidden/>
              </w:rPr>
              <w:fldChar w:fldCharType="end"/>
            </w:r>
          </w:hyperlink>
        </w:p>
        <w:p w14:paraId="3BC6F44B" w14:textId="584E1378" w:rsidR="008F10C7" w:rsidRDefault="005E0ACB">
          <w:pPr>
            <w:pStyle w:val="TOC2"/>
            <w:rPr>
              <w:rFonts w:asciiTheme="minorHAnsi" w:eastAsiaTheme="minorEastAsia" w:hAnsiTheme="minorHAnsi"/>
              <w:noProof/>
              <w:spacing w:val="0"/>
              <w:kern w:val="2"/>
              <w14:ligatures w14:val="standardContextual"/>
            </w:rPr>
          </w:pPr>
          <w:hyperlink w:anchor="_Toc187924169" w:history="1">
            <w:r w:rsidR="008F10C7" w:rsidRPr="00A8261A">
              <w:rPr>
                <w:rStyle w:val="Hyperlink"/>
                <w:noProof/>
                <w:shd w:val="clear" w:color="auto" w:fill="FFFFFF"/>
              </w:rPr>
              <w:t>5.1 – General Provisions for Processing Suitability Actions</w:t>
            </w:r>
            <w:r w:rsidR="008F10C7">
              <w:rPr>
                <w:noProof/>
                <w:webHidden/>
              </w:rPr>
              <w:tab/>
            </w:r>
            <w:r w:rsidR="008F10C7">
              <w:rPr>
                <w:noProof/>
                <w:webHidden/>
              </w:rPr>
              <w:fldChar w:fldCharType="begin"/>
            </w:r>
            <w:r w:rsidR="008F10C7">
              <w:rPr>
                <w:noProof/>
                <w:webHidden/>
              </w:rPr>
              <w:instrText xml:space="preserve"> PAGEREF _Toc187924169 \h </w:instrText>
            </w:r>
            <w:r w:rsidR="008F10C7">
              <w:rPr>
                <w:noProof/>
                <w:webHidden/>
              </w:rPr>
            </w:r>
            <w:r w:rsidR="008F10C7">
              <w:rPr>
                <w:noProof/>
                <w:webHidden/>
              </w:rPr>
              <w:fldChar w:fldCharType="separate"/>
            </w:r>
            <w:r w:rsidR="008F10C7">
              <w:rPr>
                <w:noProof/>
                <w:webHidden/>
              </w:rPr>
              <w:t>72</w:t>
            </w:r>
            <w:r w:rsidR="008F10C7">
              <w:rPr>
                <w:noProof/>
                <w:webHidden/>
              </w:rPr>
              <w:fldChar w:fldCharType="end"/>
            </w:r>
          </w:hyperlink>
        </w:p>
        <w:p w14:paraId="5A96A7D4" w14:textId="7574913F" w:rsidR="008F10C7" w:rsidRDefault="005E0ACB">
          <w:pPr>
            <w:pStyle w:val="TOC2"/>
            <w:rPr>
              <w:rFonts w:asciiTheme="minorHAnsi" w:eastAsiaTheme="minorEastAsia" w:hAnsiTheme="minorHAnsi"/>
              <w:noProof/>
              <w:spacing w:val="0"/>
              <w:kern w:val="2"/>
              <w14:ligatures w14:val="standardContextual"/>
            </w:rPr>
          </w:pPr>
          <w:hyperlink w:anchor="_Toc187924170" w:history="1">
            <w:r w:rsidR="008F10C7" w:rsidRPr="00A8261A">
              <w:rPr>
                <w:rStyle w:val="Hyperlink"/>
                <w:noProof/>
                <w:shd w:val="clear" w:color="auto" w:fill="FFFFFF"/>
              </w:rPr>
              <w:t>5.2 – Evaluating Evidence</w:t>
            </w:r>
            <w:r w:rsidR="008F10C7">
              <w:rPr>
                <w:noProof/>
                <w:webHidden/>
              </w:rPr>
              <w:tab/>
            </w:r>
            <w:r w:rsidR="008F10C7">
              <w:rPr>
                <w:noProof/>
                <w:webHidden/>
              </w:rPr>
              <w:fldChar w:fldCharType="begin"/>
            </w:r>
            <w:r w:rsidR="008F10C7">
              <w:rPr>
                <w:noProof/>
                <w:webHidden/>
              </w:rPr>
              <w:instrText xml:space="preserve"> PAGEREF _Toc187924170 \h </w:instrText>
            </w:r>
            <w:r w:rsidR="008F10C7">
              <w:rPr>
                <w:noProof/>
                <w:webHidden/>
              </w:rPr>
            </w:r>
            <w:r w:rsidR="008F10C7">
              <w:rPr>
                <w:noProof/>
                <w:webHidden/>
              </w:rPr>
              <w:fldChar w:fldCharType="separate"/>
            </w:r>
            <w:r w:rsidR="008F10C7">
              <w:rPr>
                <w:noProof/>
                <w:webHidden/>
              </w:rPr>
              <w:t>72</w:t>
            </w:r>
            <w:r w:rsidR="008F10C7">
              <w:rPr>
                <w:noProof/>
                <w:webHidden/>
              </w:rPr>
              <w:fldChar w:fldCharType="end"/>
            </w:r>
          </w:hyperlink>
        </w:p>
        <w:p w14:paraId="60B164E7" w14:textId="6E8199B7" w:rsidR="008F10C7" w:rsidRDefault="005E0ACB">
          <w:pPr>
            <w:pStyle w:val="TOC2"/>
            <w:rPr>
              <w:rFonts w:asciiTheme="minorHAnsi" w:eastAsiaTheme="minorEastAsia" w:hAnsiTheme="minorHAnsi"/>
              <w:noProof/>
              <w:spacing w:val="0"/>
              <w:kern w:val="2"/>
              <w14:ligatures w14:val="standardContextual"/>
            </w:rPr>
          </w:pPr>
          <w:hyperlink w:anchor="_Toc187924171" w:history="1">
            <w:r w:rsidR="008F10C7" w:rsidRPr="00A8261A">
              <w:rPr>
                <w:rStyle w:val="Hyperlink"/>
                <w:noProof/>
                <w:shd w:val="clear" w:color="auto" w:fill="FFFFFF"/>
              </w:rPr>
              <w:t>5.3 – Information Restricted from Use</w:t>
            </w:r>
            <w:r w:rsidR="008F10C7">
              <w:rPr>
                <w:noProof/>
                <w:webHidden/>
              </w:rPr>
              <w:tab/>
            </w:r>
            <w:r w:rsidR="008F10C7">
              <w:rPr>
                <w:noProof/>
                <w:webHidden/>
              </w:rPr>
              <w:fldChar w:fldCharType="begin"/>
            </w:r>
            <w:r w:rsidR="008F10C7">
              <w:rPr>
                <w:noProof/>
                <w:webHidden/>
              </w:rPr>
              <w:instrText xml:space="preserve"> PAGEREF _Toc187924171 \h </w:instrText>
            </w:r>
            <w:r w:rsidR="008F10C7">
              <w:rPr>
                <w:noProof/>
                <w:webHidden/>
              </w:rPr>
            </w:r>
            <w:r w:rsidR="008F10C7">
              <w:rPr>
                <w:noProof/>
                <w:webHidden/>
              </w:rPr>
              <w:fldChar w:fldCharType="separate"/>
            </w:r>
            <w:r w:rsidR="008F10C7">
              <w:rPr>
                <w:noProof/>
                <w:webHidden/>
              </w:rPr>
              <w:t>73</w:t>
            </w:r>
            <w:r w:rsidR="008F10C7">
              <w:rPr>
                <w:noProof/>
                <w:webHidden/>
              </w:rPr>
              <w:fldChar w:fldCharType="end"/>
            </w:r>
          </w:hyperlink>
        </w:p>
        <w:p w14:paraId="1078D98C" w14:textId="3A809772" w:rsidR="008F10C7" w:rsidRDefault="005E0ACB">
          <w:pPr>
            <w:pStyle w:val="TOC2"/>
            <w:rPr>
              <w:rFonts w:asciiTheme="minorHAnsi" w:eastAsiaTheme="minorEastAsia" w:hAnsiTheme="minorHAnsi"/>
              <w:noProof/>
              <w:spacing w:val="0"/>
              <w:kern w:val="2"/>
              <w14:ligatures w14:val="standardContextual"/>
            </w:rPr>
          </w:pPr>
          <w:hyperlink w:anchor="_Toc187924172" w:history="1">
            <w:r w:rsidR="008F10C7" w:rsidRPr="00A8261A">
              <w:rPr>
                <w:rStyle w:val="Hyperlink"/>
                <w:noProof/>
                <w:shd w:val="clear" w:color="auto" w:fill="FFFFFF"/>
              </w:rPr>
              <w:t>5.4 – Disseminating Investigative Material</w:t>
            </w:r>
            <w:r w:rsidR="008F10C7">
              <w:rPr>
                <w:noProof/>
                <w:webHidden/>
              </w:rPr>
              <w:tab/>
            </w:r>
            <w:r w:rsidR="008F10C7">
              <w:rPr>
                <w:noProof/>
                <w:webHidden/>
              </w:rPr>
              <w:fldChar w:fldCharType="begin"/>
            </w:r>
            <w:r w:rsidR="008F10C7">
              <w:rPr>
                <w:noProof/>
                <w:webHidden/>
              </w:rPr>
              <w:instrText xml:space="preserve"> PAGEREF _Toc187924172 \h </w:instrText>
            </w:r>
            <w:r w:rsidR="008F10C7">
              <w:rPr>
                <w:noProof/>
                <w:webHidden/>
              </w:rPr>
            </w:r>
            <w:r w:rsidR="008F10C7">
              <w:rPr>
                <w:noProof/>
                <w:webHidden/>
              </w:rPr>
              <w:fldChar w:fldCharType="separate"/>
            </w:r>
            <w:r w:rsidR="008F10C7">
              <w:rPr>
                <w:noProof/>
                <w:webHidden/>
              </w:rPr>
              <w:t>74</w:t>
            </w:r>
            <w:r w:rsidR="008F10C7">
              <w:rPr>
                <w:noProof/>
                <w:webHidden/>
              </w:rPr>
              <w:fldChar w:fldCharType="end"/>
            </w:r>
          </w:hyperlink>
        </w:p>
        <w:p w14:paraId="073E8B5B" w14:textId="263463DD" w:rsidR="008F10C7" w:rsidRDefault="005E0ACB">
          <w:pPr>
            <w:pStyle w:val="TOC3"/>
            <w:tabs>
              <w:tab w:val="right" w:leader="dot" w:pos="9350"/>
            </w:tabs>
            <w:rPr>
              <w:rFonts w:asciiTheme="minorHAnsi" w:eastAsiaTheme="minorEastAsia" w:hAnsiTheme="minorHAnsi"/>
              <w:noProof/>
              <w:spacing w:val="0"/>
              <w:kern w:val="2"/>
              <w14:ligatures w14:val="standardContextual"/>
            </w:rPr>
          </w:pPr>
          <w:hyperlink w:anchor="_Toc187924173" w:history="1">
            <w:r w:rsidR="008F10C7" w:rsidRPr="00A8261A">
              <w:rPr>
                <w:rStyle w:val="Hyperlink"/>
                <w:noProof/>
                <w:shd w:val="clear" w:color="auto" w:fill="FFFFFF"/>
              </w:rPr>
              <w:t>5.4.1 – Making a Request to Use and Release Information</w:t>
            </w:r>
            <w:r w:rsidR="008F10C7">
              <w:rPr>
                <w:noProof/>
                <w:webHidden/>
              </w:rPr>
              <w:tab/>
            </w:r>
            <w:r w:rsidR="008F10C7">
              <w:rPr>
                <w:noProof/>
                <w:webHidden/>
              </w:rPr>
              <w:fldChar w:fldCharType="begin"/>
            </w:r>
            <w:r w:rsidR="008F10C7">
              <w:rPr>
                <w:noProof/>
                <w:webHidden/>
              </w:rPr>
              <w:instrText xml:space="preserve"> PAGEREF _Toc187924173 \h </w:instrText>
            </w:r>
            <w:r w:rsidR="008F10C7">
              <w:rPr>
                <w:noProof/>
                <w:webHidden/>
              </w:rPr>
            </w:r>
            <w:r w:rsidR="008F10C7">
              <w:rPr>
                <w:noProof/>
                <w:webHidden/>
              </w:rPr>
              <w:fldChar w:fldCharType="separate"/>
            </w:r>
            <w:r w:rsidR="008F10C7">
              <w:rPr>
                <w:noProof/>
                <w:webHidden/>
              </w:rPr>
              <w:t>74</w:t>
            </w:r>
            <w:r w:rsidR="008F10C7">
              <w:rPr>
                <w:noProof/>
                <w:webHidden/>
              </w:rPr>
              <w:fldChar w:fldCharType="end"/>
            </w:r>
          </w:hyperlink>
        </w:p>
        <w:p w14:paraId="0574DE14" w14:textId="0311E03C" w:rsidR="008F10C7" w:rsidRDefault="005E0ACB">
          <w:pPr>
            <w:pStyle w:val="TOC2"/>
            <w:rPr>
              <w:rFonts w:asciiTheme="minorHAnsi" w:eastAsiaTheme="minorEastAsia" w:hAnsiTheme="minorHAnsi"/>
              <w:noProof/>
              <w:spacing w:val="0"/>
              <w:kern w:val="2"/>
              <w14:ligatures w14:val="standardContextual"/>
            </w:rPr>
          </w:pPr>
          <w:hyperlink w:anchor="_Toc187924174" w:history="1">
            <w:r w:rsidR="008F10C7" w:rsidRPr="00A8261A">
              <w:rPr>
                <w:rStyle w:val="Hyperlink"/>
                <w:noProof/>
                <w:shd w:val="clear" w:color="auto" w:fill="FFFFFF"/>
              </w:rPr>
              <w:t>5.5 – Use of Credit</w:t>
            </w:r>
            <w:r w:rsidR="008F10C7">
              <w:rPr>
                <w:noProof/>
                <w:webHidden/>
              </w:rPr>
              <w:tab/>
            </w:r>
            <w:r w:rsidR="008F10C7">
              <w:rPr>
                <w:noProof/>
                <w:webHidden/>
              </w:rPr>
              <w:fldChar w:fldCharType="begin"/>
            </w:r>
            <w:r w:rsidR="008F10C7">
              <w:rPr>
                <w:noProof/>
                <w:webHidden/>
              </w:rPr>
              <w:instrText xml:space="preserve"> PAGEREF _Toc187924174 \h </w:instrText>
            </w:r>
            <w:r w:rsidR="008F10C7">
              <w:rPr>
                <w:noProof/>
                <w:webHidden/>
              </w:rPr>
            </w:r>
            <w:r w:rsidR="008F10C7">
              <w:rPr>
                <w:noProof/>
                <w:webHidden/>
              </w:rPr>
              <w:fldChar w:fldCharType="separate"/>
            </w:r>
            <w:r w:rsidR="008F10C7">
              <w:rPr>
                <w:noProof/>
                <w:webHidden/>
              </w:rPr>
              <w:t>74</w:t>
            </w:r>
            <w:r w:rsidR="008F10C7">
              <w:rPr>
                <w:noProof/>
                <w:webHidden/>
              </w:rPr>
              <w:fldChar w:fldCharType="end"/>
            </w:r>
          </w:hyperlink>
        </w:p>
        <w:p w14:paraId="6F786BB2" w14:textId="111A4CF5" w:rsidR="008F10C7" w:rsidRDefault="005E0ACB">
          <w:pPr>
            <w:pStyle w:val="TOC2"/>
            <w:rPr>
              <w:rFonts w:asciiTheme="minorHAnsi" w:eastAsiaTheme="minorEastAsia" w:hAnsiTheme="minorHAnsi"/>
              <w:noProof/>
              <w:spacing w:val="0"/>
              <w:kern w:val="2"/>
              <w14:ligatures w14:val="standardContextual"/>
            </w:rPr>
          </w:pPr>
          <w:hyperlink w:anchor="_Toc187924175" w:history="1">
            <w:r w:rsidR="008F10C7" w:rsidRPr="00A8261A">
              <w:rPr>
                <w:rStyle w:val="Hyperlink"/>
                <w:noProof/>
                <w:shd w:val="clear" w:color="auto" w:fill="FFFFFF"/>
              </w:rPr>
              <w:t>5.6 – Statutory Debarment</w:t>
            </w:r>
            <w:r w:rsidR="008F10C7">
              <w:rPr>
                <w:noProof/>
                <w:webHidden/>
              </w:rPr>
              <w:tab/>
            </w:r>
            <w:r w:rsidR="008F10C7">
              <w:rPr>
                <w:noProof/>
                <w:webHidden/>
              </w:rPr>
              <w:fldChar w:fldCharType="begin"/>
            </w:r>
            <w:r w:rsidR="008F10C7">
              <w:rPr>
                <w:noProof/>
                <w:webHidden/>
              </w:rPr>
              <w:instrText xml:space="preserve"> PAGEREF _Toc187924175 \h </w:instrText>
            </w:r>
            <w:r w:rsidR="008F10C7">
              <w:rPr>
                <w:noProof/>
                <w:webHidden/>
              </w:rPr>
            </w:r>
            <w:r w:rsidR="008F10C7">
              <w:rPr>
                <w:noProof/>
                <w:webHidden/>
              </w:rPr>
              <w:fldChar w:fldCharType="separate"/>
            </w:r>
            <w:r w:rsidR="008F10C7">
              <w:rPr>
                <w:noProof/>
                <w:webHidden/>
              </w:rPr>
              <w:t>76</w:t>
            </w:r>
            <w:r w:rsidR="008F10C7">
              <w:rPr>
                <w:noProof/>
                <w:webHidden/>
              </w:rPr>
              <w:fldChar w:fldCharType="end"/>
            </w:r>
          </w:hyperlink>
        </w:p>
        <w:p w14:paraId="79C881F9" w14:textId="2666B843" w:rsidR="008F10C7" w:rsidRDefault="005E0ACB">
          <w:pPr>
            <w:pStyle w:val="TOC2"/>
            <w:rPr>
              <w:rFonts w:asciiTheme="minorHAnsi" w:eastAsiaTheme="minorEastAsia" w:hAnsiTheme="minorHAnsi"/>
              <w:noProof/>
              <w:spacing w:val="0"/>
              <w:kern w:val="2"/>
              <w14:ligatures w14:val="standardContextual"/>
            </w:rPr>
          </w:pPr>
          <w:hyperlink w:anchor="_Toc187924176" w:history="1">
            <w:r w:rsidR="008F10C7" w:rsidRPr="00A8261A">
              <w:rPr>
                <w:rStyle w:val="Hyperlink"/>
                <w:noProof/>
                <w:shd w:val="clear" w:color="auto" w:fill="FFFFFF"/>
              </w:rPr>
              <w:t>5.7– Suitability Actions</w:t>
            </w:r>
            <w:r w:rsidR="008F10C7">
              <w:rPr>
                <w:noProof/>
                <w:webHidden/>
              </w:rPr>
              <w:tab/>
            </w:r>
            <w:r w:rsidR="008F10C7">
              <w:rPr>
                <w:noProof/>
                <w:webHidden/>
              </w:rPr>
              <w:fldChar w:fldCharType="begin"/>
            </w:r>
            <w:r w:rsidR="008F10C7">
              <w:rPr>
                <w:noProof/>
                <w:webHidden/>
              </w:rPr>
              <w:instrText xml:space="preserve"> PAGEREF _Toc187924176 \h </w:instrText>
            </w:r>
            <w:r w:rsidR="008F10C7">
              <w:rPr>
                <w:noProof/>
                <w:webHidden/>
              </w:rPr>
            </w:r>
            <w:r w:rsidR="008F10C7">
              <w:rPr>
                <w:noProof/>
                <w:webHidden/>
              </w:rPr>
              <w:fldChar w:fldCharType="separate"/>
            </w:r>
            <w:r w:rsidR="008F10C7">
              <w:rPr>
                <w:noProof/>
                <w:webHidden/>
              </w:rPr>
              <w:t>76</w:t>
            </w:r>
            <w:r w:rsidR="008F10C7">
              <w:rPr>
                <w:noProof/>
                <w:webHidden/>
              </w:rPr>
              <w:fldChar w:fldCharType="end"/>
            </w:r>
          </w:hyperlink>
        </w:p>
        <w:p w14:paraId="1C2F2678" w14:textId="1C368302" w:rsidR="008F10C7" w:rsidRDefault="005E0ACB">
          <w:pPr>
            <w:pStyle w:val="TOC3"/>
            <w:tabs>
              <w:tab w:val="right" w:leader="dot" w:pos="9350"/>
            </w:tabs>
            <w:rPr>
              <w:rFonts w:asciiTheme="minorHAnsi" w:eastAsiaTheme="minorEastAsia" w:hAnsiTheme="minorHAnsi"/>
              <w:noProof/>
              <w:spacing w:val="0"/>
              <w:kern w:val="2"/>
              <w14:ligatures w14:val="standardContextual"/>
            </w:rPr>
          </w:pPr>
          <w:hyperlink w:anchor="_Toc187924177" w:history="1">
            <w:r w:rsidR="008F10C7" w:rsidRPr="00A8261A">
              <w:rPr>
                <w:rStyle w:val="Hyperlink"/>
                <w:noProof/>
                <w:shd w:val="clear" w:color="auto" w:fill="FFFFFF"/>
              </w:rPr>
              <w:t>5.7.1 – Proposed Actions</w:t>
            </w:r>
            <w:r w:rsidR="008F10C7">
              <w:rPr>
                <w:noProof/>
                <w:webHidden/>
              </w:rPr>
              <w:tab/>
            </w:r>
            <w:r w:rsidR="008F10C7">
              <w:rPr>
                <w:noProof/>
                <w:webHidden/>
              </w:rPr>
              <w:fldChar w:fldCharType="begin"/>
            </w:r>
            <w:r w:rsidR="008F10C7">
              <w:rPr>
                <w:noProof/>
                <w:webHidden/>
              </w:rPr>
              <w:instrText xml:space="preserve"> PAGEREF _Toc187924177 \h </w:instrText>
            </w:r>
            <w:r w:rsidR="008F10C7">
              <w:rPr>
                <w:noProof/>
                <w:webHidden/>
              </w:rPr>
            </w:r>
            <w:r w:rsidR="008F10C7">
              <w:rPr>
                <w:noProof/>
                <w:webHidden/>
              </w:rPr>
              <w:fldChar w:fldCharType="separate"/>
            </w:r>
            <w:r w:rsidR="008F10C7">
              <w:rPr>
                <w:noProof/>
                <w:webHidden/>
              </w:rPr>
              <w:t>77</w:t>
            </w:r>
            <w:r w:rsidR="008F10C7">
              <w:rPr>
                <w:noProof/>
                <w:webHidden/>
              </w:rPr>
              <w:fldChar w:fldCharType="end"/>
            </w:r>
          </w:hyperlink>
        </w:p>
        <w:p w14:paraId="57E38A8E" w14:textId="45F293BC" w:rsidR="008F10C7" w:rsidRDefault="005E0ACB">
          <w:pPr>
            <w:pStyle w:val="TOC3"/>
            <w:tabs>
              <w:tab w:val="right" w:leader="dot" w:pos="9350"/>
            </w:tabs>
            <w:rPr>
              <w:rFonts w:asciiTheme="minorHAnsi" w:eastAsiaTheme="minorEastAsia" w:hAnsiTheme="minorHAnsi"/>
              <w:noProof/>
              <w:spacing w:val="0"/>
              <w:kern w:val="2"/>
              <w14:ligatures w14:val="standardContextual"/>
            </w:rPr>
          </w:pPr>
          <w:hyperlink w:anchor="_Toc187924178" w:history="1">
            <w:r w:rsidR="008F10C7" w:rsidRPr="00A8261A">
              <w:rPr>
                <w:rStyle w:val="Hyperlink"/>
                <w:noProof/>
                <w:shd w:val="clear" w:color="auto" w:fill="FFFFFF"/>
              </w:rPr>
              <w:t>5.7.2 – Materials Relied Upon</w:t>
            </w:r>
            <w:r w:rsidR="008F10C7">
              <w:rPr>
                <w:noProof/>
                <w:webHidden/>
              </w:rPr>
              <w:tab/>
            </w:r>
            <w:r w:rsidR="008F10C7">
              <w:rPr>
                <w:noProof/>
                <w:webHidden/>
              </w:rPr>
              <w:fldChar w:fldCharType="begin"/>
            </w:r>
            <w:r w:rsidR="008F10C7">
              <w:rPr>
                <w:noProof/>
                <w:webHidden/>
              </w:rPr>
              <w:instrText xml:space="preserve"> PAGEREF _Toc187924178 \h </w:instrText>
            </w:r>
            <w:r w:rsidR="008F10C7">
              <w:rPr>
                <w:noProof/>
                <w:webHidden/>
              </w:rPr>
            </w:r>
            <w:r w:rsidR="008F10C7">
              <w:rPr>
                <w:noProof/>
                <w:webHidden/>
              </w:rPr>
              <w:fldChar w:fldCharType="separate"/>
            </w:r>
            <w:r w:rsidR="008F10C7">
              <w:rPr>
                <w:noProof/>
                <w:webHidden/>
              </w:rPr>
              <w:t>78</w:t>
            </w:r>
            <w:r w:rsidR="008F10C7">
              <w:rPr>
                <w:noProof/>
                <w:webHidden/>
              </w:rPr>
              <w:fldChar w:fldCharType="end"/>
            </w:r>
          </w:hyperlink>
        </w:p>
        <w:p w14:paraId="4F4755EE" w14:textId="198F75A5" w:rsidR="008F10C7" w:rsidRDefault="005E0ACB">
          <w:pPr>
            <w:pStyle w:val="TOC3"/>
            <w:tabs>
              <w:tab w:val="right" w:leader="dot" w:pos="9350"/>
            </w:tabs>
            <w:rPr>
              <w:rFonts w:asciiTheme="minorHAnsi" w:eastAsiaTheme="minorEastAsia" w:hAnsiTheme="minorHAnsi"/>
              <w:noProof/>
              <w:spacing w:val="0"/>
              <w:kern w:val="2"/>
              <w14:ligatures w14:val="standardContextual"/>
            </w:rPr>
          </w:pPr>
          <w:hyperlink w:anchor="_Toc187924179" w:history="1">
            <w:r w:rsidR="008F10C7" w:rsidRPr="00A8261A">
              <w:rPr>
                <w:rStyle w:val="Hyperlink"/>
                <w:noProof/>
                <w:shd w:val="clear" w:color="auto" w:fill="FFFFFF"/>
              </w:rPr>
              <w:t>5.7.3 – Debarment Length</w:t>
            </w:r>
            <w:r w:rsidR="008F10C7">
              <w:rPr>
                <w:noProof/>
                <w:webHidden/>
              </w:rPr>
              <w:tab/>
            </w:r>
            <w:r w:rsidR="008F10C7">
              <w:rPr>
                <w:noProof/>
                <w:webHidden/>
              </w:rPr>
              <w:fldChar w:fldCharType="begin"/>
            </w:r>
            <w:r w:rsidR="008F10C7">
              <w:rPr>
                <w:noProof/>
                <w:webHidden/>
              </w:rPr>
              <w:instrText xml:space="preserve"> PAGEREF _Toc187924179 \h </w:instrText>
            </w:r>
            <w:r w:rsidR="008F10C7">
              <w:rPr>
                <w:noProof/>
                <w:webHidden/>
              </w:rPr>
            </w:r>
            <w:r w:rsidR="008F10C7">
              <w:rPr>
                <w:noProof/>
                <w:webHidden/>
              </w:rPr>
              <w:fldChar w:fldCharType="separate"/>
            </w:r>
            <w:r w:rsidR="008F10C7">
              <w:rPr>
                <w:noProof/>
                <w:webHidden/>
              </w:rPr>
              <w:t>78</w:t>
            </w:r>
            <w:r w:rsidR="008F10C7">
              <w:rPr>
                <w:noProof/>
                <w:webHidden/>
              </w:rPr>
              <w:fldChar w:fldCharType="end"/>
            </w:r>
          </w:hyperlink>
        </w:p>
        <w:p w14:paraId="7EB87E53" w14:textId="1340DE66" w:rsidR="008F10C7" w:rsidRDefault="005E0ACB">
          <w:pPr>
            <w:pStyle w:val="TOC3"/>
            <w:tabs>
              <w:tab w:val="right" w:leader="dot" w:pos="9350"/>
            </w:tabs>
            <w:rPr>
              <w:rFonts w:asciiTheme="minorHAnsi" w:eastAsiaTheme="minorEastAsia" w:hAnsiTheme="minorHAnsi"/>
              <w:noProof/>
              <w:spacing w:val="0"/>
              <w:kern w:val="2"/>
              <w14:ligatures w14:val="standardContextual"/>
            </w:rPr>
          </w:pPr>
          <w:hyperlink w:anchor="_Toc187924180" w:history="1">
            <w:r w:rsidR="008F10C7" w:rsidRPr="00A8261A">
              <w:rPr>
                <w:rStyle w:val="Hyperlink"/>
                <w:noProof/>
                <w:shd w:val="clear" w:color="auto" w:fill="FFFFFF"/>
              </w:rPr>
              <w:t>5.7.4 – Introduction of New Information at Final Decision is Prohibited</w:t>
            </w:r>
            <w:r w:rsidR="008F10C7">
              <w:rPr>
                <w:noProof/>
                <w:webHidden/>
              </w:rPr>
              <w:tab/>
            </w:r>
            <w:r w:rsidR="008F10C7">
              <w:rPr>
                <w:noProof/>
                <w:webHidden/>
              </w:rPr>
              <w:fldChar w:fldCharType="begin"/>
            </w:r>
            <w:r w:rsidR="008F10C7">
              <w:rPr>
                <w:noProof/>
                <w:webHidden/>
              </w:rPr>
              <w:instrText xml:space="preserve"> PAGEREF _Toc187924180 \h </w:instrText>
            </w:r>
            <w:r w:rsidR="008F10C7">
              <w:rPr>
                <w:noProof/>
                <w:webHidden/>
              </w:rPr>
            </w:r>
            <w:r w:rsidR="008F10C7">
              <w:rPr>
                <w:noProof/>
                <w:webHidden/>
              </w:rPr>
              <w:fldChar w:fldCharType="separate"/>
            </w:r>
            <w:r w:rsidR="008F10C7">
              <w:rPr>
                <w:noProof/>
                <w:webHidden/>
              </w:rPr>
              <w:t>78</w:t>
            </w:r>
            <w:r w:rsidR="008F10C7">
              <w:rPr>
                <w:noProof/>
                <w:webHidden/>
              </w:rPr>
              <w:fldChar w:fldCharType="end"/>
            </w:r>
          </w:hyperlink>
        </w:p>
        <w:p w14:paraId="06D32174" w14:textId="4F34871E" w:rsidR="008F10C7" w:rsidRDefault="005E0ACB">
          <w:pPr>
            <w:pStyle w:val="TOC3"/>
            <w:tabs>
              <w:tab w:val="right" w:leader="dot" w:pos="9350"/>
            </w:tabs>
            <w:rPr>
              <w:rFonts w:asciiTheme="minorHAnsi" w:eastAsiaTheme="minorEastAsia" w:hAnsiTheme="minorHAnsi"/>
              <w:noProof/>
              <w:spacing w:val="0"/>
              <w:kern w:val="2"/>
              <w14:ligatures w14:val="standardContextual"/>
            </w:rPr>
          </w:pPr>
          <w:hyperlink w:anchor="_Toc187924181" w:history="1">
            <w:r w:rsidR="008F10C7" w:rsidRPr="00A8261A">
              <w:rPr>
                <w:rStyle w:val="Hyperlink"/>
                <w:noProof/>
                <w:shd w:val="clear" w:color="auto" w:fill="FFFFFF"/>
              </w:rPr>
              <w:t>5.7.5 – Decision Maker</w:t>
            </w:r>
            <w:r w:rsidR="008F10C7">
              <w:rPr>
                <w:noProof/>
                <w:webHidden/>
              </w:rPr>
              <w:tab/>
            </w:r>
            <w:r w:rsidR="008F10C7">
              <w:rPr>
                <w:noProof/>
                <w:webHidden/>
              </w:rPr>
              <w:fldChar w:fldCharType="begin"/>
            </w:r>
            <w:r w:rsidR="008F10C7">
              <w:rPr>
                <w:noProof/>
                <w:webHidden/>
              </w:rPr>
              <w:instrText xml:space="preserve"> PAGEREF _Toc187924181 \h </w:instrText>
            </w:r>
            <w:r w:rsidR="008F10C7">
              <w:rPr>
                <w:noProof/>
                <w:webHidden/>
              </w:rPr>
            </w:r>
            <w:r w:rsidR="008F10C7">
              <w:rPr>
                <w:noProof/>
                <w:webHidden/>
              </w:rPr>
              <w:fldChar w:fldCharType="separate"/>
            </w:r>
            <w:r w:rsidR="008F10C7">
              <w:rPr>
                <w:noProof/>
                <w:webHidden/>
              </w:rPr>
              <w:t>78</w:t>
            </w:r>
            <w:r w:rsidR="008F10C7">
              <w:rPr>
                <w:noProof/>
                <w:webHidden/>
              </w:rPr>
              <w:fldChar w:fldCharType="end"/>
            </w:r>
          </w:hyperlink>
        </w:p>
        <w:p w14:paraId="6CB716CF" w14:textId="6C20837D" w:rsidR="008F10C7" w:rsidRDefault="005E0ACB">
          <w:pPr>
            <w:pStyle w:val="TOC3"/>
            <w:tabs>
              <w:tab w:val="right" w:leader="dot" w:pos="9350"/>
            </w:tabs>
            <w:rPr>
              <w:rFonts w:asciiTheme="minorHAnsi" w:eastAsiaTheme="minorEastAsia" w:hAnsiTheme="minorHAnsi"/>
              <w:noProof/>
              <w:spacing w:val="0"/>
              <w:kern w:val="2"/>
              <w14:ligatures w14:val="standardContextual"/>
            </w:rPr>
          </w:pPr>
          <w:hyperlink w:anchor="_Toc187924182" w:history="1">
            <w:r w:rsidR="008F10C7" w:rsidRPr="00A8261A">
              <w:rPr>
                <w:rStyle w:val="Hyperlink"/>
                <w:noProof/>
                <w:shd w:val="clear" w:color="auto" w:fill="FFFFFF"/>
              </w:rPr>
              <w:t>5.7.6 – Decision Letters</w:t>
            </w:r>
            <w:r w:rsidR="008F10C7">
              <w:rPr>
                <w:noProof/>
                <w:webHidden/>
              </w:rPr>
              <w:tab/>
            </w:r>
            <w:r w:rsidR="008F10C7">
              <w:rPr>
                <w:noProof/>
                <w:webHidden/>
              </w:rPr>
              <w:fldChar w:fldCharType="begin"/>
            </w:r>
            <w:r w:rsidR="008F10C7">
              <w:rPr>
                <w:noProof/>
                <w:webHidden/>
              </w:rPr>
              <w:instrText xml:space="preserve"> PAGEREF _Toc187924182 \h </w:instrText>
            </w:r>
            <w:r w:rsidR="008F10C7">
              <w:rPr>
                <w:noProof/>
                <w:webHidden/>
              </w:rPr>
            </w:r>
            <w:r w:rsidR="008F10C7">
              <w:rPr>
                <w:noProof/>
                <w:webHidden/>
              </w:rPr>
              <w:fldChar w:fldCharType="separate"/>
            </w:r>
            <w:r w:rsidR="008F10C7">
              <w:rPr>
                <w:noProof/>
                <w:webHidden/>
              </w:rPr>
              <w:t>78</w:t>
            </w:r>
            <w:r w:rsidR="008F10C7">
              <w:rPr>
                <w:noProof/>
                <w:webHidden/>
              </w:rPr>
              <w:fldChar w:fldCharType="end"/>
            </w:r>
          </w:hyperlink>
        </w:p>
        <w:p w14:paraId="46F301D4" w14:textId="2637C4EF" w:rsidR="008F10C7" w:rsidRDefault="005E0ACB">
          <w:pPr>
            <w:pStyle w:val="TOC2"/>
            <w:rPr>
              <w:rFonts w:asciiTheme="minorHAnsi" w:eastAsiaTheme="minorEastAsia" w:hAnsiTheme="minorHAnsi"/>
              <w:noProof/>
              <w:spacing w:val="0"/>
              <w:kern w:val="2"/>
              <w14:ligatures w14:val="standardContextual"/>
            </w:rPr>
          </w:pPr>
          <w:hyperlink w:anchor="_Toc187924183" w:history="1">
            <w:r w:rsidR="008F10C7" w:rsidRPr="00A8261A">
              <w:rPr>
                <w:rStyle w:val="Hyperlink"/>
                <w:noProof/>
                <w:shd w:val="clear" w:color="auto" w:fill="FFFFFF"/>
              </w:rPr>
              <w:t>5.8 – Reporting Unfavorable Actions</w:t>
            </w:r>
            <w:r w:rsidR="008F10C7">
              <w:rPr>
                <w:noProof/>
                <w:webHidden/>
              </w:rPr>
              <w:tab/>
            </w:r>
            <w:r w:rsidR="008F10C7">
              <w:rPr>
                <w:noProof/>
                <w:webHidden/>
              </w:rPr>
              <w:fldChar w:fldCharType="begin"/>
            </w:r>
            <w:r w:rsidR="008F10C7">
              <w:rPr>
                <w:noProof/>
                <w:webHidden/>
              </w:rPr>
              <w:instrText xml:space="preserve"> PAGEREF _Toc187924183 \h </w:instrText>
            </w:r>
            <w:r w:rsidR="008F10C7">
              <w:rPr>
                <w:noProof/>
                <w:webHidden/>
              </w:rPr>
            </w:r>
            <w:r w:rsidR="008F10C7">
              <w:rPr>
                <w:noProof/>
                <w:webHidden/>
              </w:rPr>
              <w:fldChar w:fldCharType="separate"/>
            </w:r>
            <w:r w:rsidR="008F10C7">
              <w:rPr>
                <w:noProof/>
                <w:webHidden/>
              </w:rPr>
              <w:t>80</w:t>
            </w:r>
            <w:r w:rsidR="008F10C7">
              <w:rPr>
                <w:noProof/>
                <w:webHidden/>
              </w:rPr>
              <w:fldChar w:fldCharType="end"/>
            </w:r>
          </w:hyperlink>
        </w:p>
        <w:p w14:paraId="7399FAF4" w14:textId="4850BF8D" w:rsidR="008F10C7" w:rsidRDefault="005E0ACB">
          <w:pPr>
            <w:pStyle w:val="TOC2"/>
            <w:rPr>
              <w:rFonts w:asciiTheme="minorHAnsi" w:eastAsiaTheme="minorEastAsia" w:hAnsiTheme="minorHAnsi"/>
              <w:noProof/>
              <w:spacing w:val="0"/>
              <w:kern w:val="2"/>
              <w14:ligatures w14:val="standardContextual"/>
            </w:rPr>
          </w:pPr>
          <w:hyperlink w:anchor="_Toc187924184" w:history="1">
            <w:r w:rsidR="008F10C7" w:rsidRPr="00A8261A">
              <w:rPr>
                <w:rStyle w:val="Hyperlink"/>
                <w:noProof/>
                <w:shd w:val="clear" w:color="auto" w:fill="FFFFFF"/>
              </w:rPr>
              <w:t>5.9 – Concurrent Debarments or Imposing an Additional Period of Debarment When the Prior Has Expired</w:t>
            </w:r>
            <w:r w:rsidR="008F10C7">
              <w:rPr>
                <w:noProof/>
                <w:webHidden/>
              </w:rPr>
              <w:tab/>
            </w:r>
            <w:r w:rsidR="008F10C7">
              <w:rPr>
                <w:noProof/>
                <w:webHidden/>
              </w:rPr>
              <w:fldChar w:fldCharType="begin"/>
            </w:r>
            <w:r w:rsidR="008F10C7">
              <w:rPr>
                <w:noProof/>
                <w:webHidden/>
              </w:rPr>
              <w:instrText xml:space="preserve"> PAGEREF _Toc187924184 \h </w:instrText>
            </w:r>
            <w:r w:rsidR="008F10C7">
              <w:rPr>
                <w:noProof/>
                <w:webHidden/>
              </w:rPr>
            </w:r>
            <w:r w:rsidR="008F10C7">
              <w:rPr>
                <w:noProof/>
                <w:webHidden/>
              </w:rPr>
              <w:fldChar w:fldCharType="separate"/>
            </w:r>
            <w:r w:rsidR="008F10C7">
              <w:rPr>
                <w:noProof/>
                <w:webHidden/>
              </w:rPr>
              <w:t>81</w:t>
            </w:r>
            <w:r w:rsidR="008F10C7">
              <w:rPr>
                <w:noProof/>
                <w:webHidden/>
              </w:rPr>
              <w:fldChar w:fldCharType="end"/>
            </w:r>
          </w:hyperlink>
        </w:p>
        <w:p w14:paraId="753D53C8" w14:textId="0B3B547E" w:rsidR="008F10C7" w:rsidRDefault="005E0ACB">
          <w:pPr>
            <w:pStyle w:val="TOC1"/>
            <w:tabs>
              <w:tab w:val="right" w:leader="dot" w:pos="9350"/>
            </w:tabs>
            <w:rPr>
              <w:rFonts w:asciiTheme="minorHAnsi" w:eastAsiaTheme="minorEastAsia" w:hAnsiTheme="minorHAnsi"/>
              <w:b w:val="0"/>
              <w:noProof/>
              <w:spacing w:val="0"/>
              <w:kern w:val="2"/>
              <w14:ligatures w14:val="standardContextual"/>
            </w:rPr>
          </w:pPr>
          <w:hyperlink w:anchor="_Toc187924185" w:history="1">
            <w:r w:rsidR="008F10C7" w:rsidRPr="00A8261A">
              <w:rPr>
                <w:rStyle w:val="Hyperlink"/>
                <w:noProof/>
              </w:rPr>
              <w:t>Volume 6:</w:t>
            </w:r>
            <w:r w:rsidR="008F10C7" w:rsidRPr="00A8261A">
              <w:rPr>
                <w:rStyle w:val="Hyperlink"/>
                <w:noProof/>
                <w:spacing w:val="-15"/>
              </w:rPr>
              <w:t xml:space="preserve"> </w:t>
            </w:r>
            <w:r w:rsidR="008F10C7" w:rsidRPr="00A8261A">
              <w:rPr>
                <w:rStyle w:val="Hyperlink"/>
                <w:noProof/>
                <w:spacing w:val="-1"/>
              </w:rPr>
              <w:t xml:space="preserve"> </w:t>
            </w:r>
            <w:r w:rsidR="008F10C7" w:rsidRPr="00A8261A">
              <w:rPr>
                <w:rStyle w:val="Hyperlink"/>
                <w:noProof/>
              </w:rPr>
              <w:t>Appeals to the Merit System Protection Board</w:t>
            </w:r>
            <w:r w:rsidR="008F10C7">
              <w:rPr>
                <w:noProof/>
                <w:webHidden/>
              </w:rPr>
              <w:tab/>
            </w:r>
            <w:r w:rsidR="008F10C7">
              <w:rPr>
                <w:noProof/>
                <w:webHidden/>
              </w:rPr>
              <w:fldChar w:fldCharType="begin"/>
            </w:r>
            <w:r w:rsidR="008F10C7">
              <w:rPr>
                <w:noProof/>
                <w:webHidden/>
              </w:rPr>
              <w:instrText xml:space="preserve"> PAGEREF _Toc187924185 \h </w:instrText>
            </w:r>
            <w:r w:rsidR="008F10C7">
              <w:rPr>
                <w:noProof/>
                <w:webHidden/>
              </w:rPr>
            </w:r>
            <w:r w:rsidR="008F10C7">
              <w:rPr>
                <w:noProof/>
                <w:webHidden/>
              </w:rPr>
              <w:fldChar w:fldCharType="separate"/>
            </w:r>
            <w:r w:rsidR="008F10C7">
              <w:rPr>
                <w:noProof/>
                <w:webHidden/>
              </w:rPr>
              <w:t>82</w:t>
            </w:r>
            <w:r w:rsidR="008F10C7">
              <w:rPr>
                <w:noProof/>
                <w:webHidden/>
              </w:rPr>
              <w:fldChar w:fldCharType="end"/>
            </w:r>
          </w:hyperlink>
        </w:p>
        <w:p w14:paraId="4CC40449" w14:textId="610E4C77" w:rsidR="008F10C7" w:rsidRDefault="005E0ACB">
          <w:pPr>
            <w:pStyle w:val="TOC2"/>
            <w:rPr>
              <w:rFonts w:asciiTheme="minorHAnsi" w:eastAsiaTheme="minorEastAsia" w:hAnsiTheme="minorHAnsi"/>
              <w:noProof/>
              <w:spacing w:val="0"/>
              <w:kern w:val="2"/>
              <w14:ligatures w14:val="standardContextual"/>
            </w:rPr>
          </w:pPr>
          <w:hyperlink w:anchor="_Toc187924186" w:history="1">
            <w:r w:rsidR="008F10C7" w:rsidRPr="00A8261A">
              <w:rPr>
                <w:rStyle w:val="Hyperlink"/>
                <w:noProof/>
              </w:rPr>
              <w:t>6.1 – Processing Merit System Protection Board (MSPB) Appeals</w:t>
            </w:r>
            <w:r w:rsidR="008F10C7">
              <w:rPr>
                <w:noProof/>
                <w:webHidden/>
              </w:rPr>
              <w:tab/>
            </w:r>
            <w:r w:rsidR="008F10C7">
              <w:rPr>
                <w:noProof/>
                <w:webHidden/>
              </w:rPr>
              <w:fldChar w:fldCharType="begin"/>
            </w:r>
            <w:r w:rsidR="008F10C7">
              <w:rPr>
                <w:noProof/>
                <w:webHidden/>
              </w:rPr>
              <w:instrText xml:space="preserve"> PAGEREF _Toc187924186 \h </w:instrText>
            </w:r>
            <w:r w:rsidR="008F10C7">
              <w:rPr>
                <w:noProof/>
                <w:webHidden/>
              </w:rPr>
            </w:r>
            <w:r w:rsidR="008F10C7">
              <w:rPr>
                <w:noProof/>
                <w:webHidden/>
              </w:rPr>
              <w:fldChar w:fldCharType="separate"/>
            </w:r>
            <w:r w:rsidR="008F10C7">
              <w:rPr>
                <w:noProof/>
                <w:webHidden/>
              </w:rPr>
              <w:t>83</w:t>
            </w:r>
            <w:r w:rsidR="008F10C7">
              <w:rPr>
                <w:noProof/>
                <w:webHidden/>
              </w:rPr>
              <w:fldChar w:fldCharType="end"/>
            </w:r>
          </w:hyperlink>
        </w:p>
        <w:p w14:paraId="16E53C43" w14:textId="4DC29999" w:rsidR="008F10C7" w:rsidRDefault="005E0ACB">
          <w:pPr>
            <w:pStyle w:val="TOC3"/>
            <w:tabs>
              <w:tab w:val="right" w:leader="dot" w:pos="9350"/>
            </w:tabs>
            <w:rPr>
              <w:rFonts w:asciiTheme="minorHAnsi" w:eastAsiaTheme="minorEastAsia" w:hAnsiTheme="minorHAnsi"/>
              <w:noProof/>
              <w:spacing w:val="0"/>
              <w:kern w:val="2"/>
              <w14:ligatures w14:val="standardContextual"/>
            </w:rPr>
          </w:pPr>
          <w:hyperlink w:anchor="_Toc187924187" w:history="1">
            <w:r w:rsidR="008F10C7" w:rsidRPr="00A8261A">
              <w:rPr>
                <w:rStyle w:val="Hyperlink"/>
                <w:noProof/>
              </w:rPr>
              <w:t>6.1.1 – Initiation of the Appeal</w:t>
            </w:r>
            <w:r w:rsidR="008F10C7">
              <w:rPr>
                <w:noProof/>
                <w:webHidden/>
              </w:rPr>
              <w:tab/>
            </w:r>
            <w:r w:rsidR="008F10C7">
              <w:rPr>
                <w:noProof/>
                <w:webHidden/>
              </w:rPr>
              <w:fldChar w:fldCharType="begin"/>
            </w:r>
            <w:r w:rsidR="008F10C7">
              <w:rPr>
                <w:noProof/>
                <w:webHidden/>
              </w:rPr>
              <w:instrText xml:space="preserve"> PAGEREF _Toc187924187 \h </w:instrText>
            </w:r>
            <w:r w:rsidR="008F10C7">
              <w:rPr>
                <w:noProof/>
                <w:webHidden/>
              </w:rPr>
            </w:r>
            <w:r w:rsidR="008F10C7">
              <w:rPr>
                <w:noProof/>
                <w:webHidden/>
              </w:rPr>
              <w:fldChar w:fldCharType="separate"/>
            </w:r>
            <w:r w:rsidR="008F10C7">
              <w:rPr>
                <w:noProof/>
                <w:webHidden/>
              </w:rPr>
              <w:t>83</w:t>
            </w:r>
            <w:r w:rsidR="008F10C7">
              <w:rPr>
                <w:noProof/>
                <w:webHidden/>
              </w:rPr>
              <w:fldChar w:fldCharType="end"/>
            </w:r>
          </w:hyperlink>
        </w:p>
        <w:p w14:paraId="7345A4B6" w14:textId="128D655B" w:rsidR="008F10C7" w:rsidRDefault="005E0ACB">
          <w:pPr>
            <w:pStyle w:val="TOC3"/>
            <w:tabs>
              <w:tab w:val="right" w:leader="dot" w:pos="9350"/>
            </w:tabs>
            <w:rPr>
              <w:rFonts w:asciiTheme="minorHAnsi" w:eastAsiaTheme="minorEastAsia" w:hAnsiTheme="minorHAnsi"/>
              <w:noProof/>
              <w:spacing w:val="0"/>
              <w:kern w:val="2"/>
              <w14:ligatures w14:val="standardContextual"/>
            </w:rPr>
          </w:pPr>
          <w:hyperlink w:anchor="_Toc187924188" w:history="1">
            <w:r w:rsidR="008F10C7" w:rsidRPr="00A8261A">
              <w:rPr>
                <w:rStyle w:val="Hyperlink"/>
                <w:noProof/>
              </w:rPr>
              <w:t>6.1.2 – Procedure Best Practices</w:t>
            </w:r>
            <w:r w:rsidR="008F10C7">
              <w:rPr>
                <w:noProof/>
                <w:webHidden/>
              </w:rPr>
              <w:tab/>
            </w:r>
            <w:r w:rsidR="008F10C7">
              <w:rPr>
                <w:noProof/>
                <w:webHidden/>
              </w:rPr>
              <w:fldChar w:fldCharType="begin"/>
            </w:r>
            <w:r w:rsidR="008F10C7">
              <w:rPr>
                <w:noProof/>
                <w:webHidden/>
              </w:rPr>
              <w:instrText xml:space="preserve"> PAGEREF _Toc187924188 \h </w:instrText>
            </w:r>
            <w:r w:rsidR="008F10C7">
              <w:rPr>
                <w:noProof/>
                <w:webHidden/>
              </w:rPr>
            </w:r>
            <w:r w:rsidR="008F10C7">
              <w:rPr>
                <w:noProof/>
                <w:webHidden/>
              </w:rPr>
              <w:fldChar w:fldCharType="separate"/>
            </w:r>
            <w:r w:rsidR="008F10C7">
              <w:rPr>
                <w:noProof/>
                <w:webHidden/>
              </w:rPr>
              <w:t>83</w:t>
            </w:r>
            <w:r w:rsidR="008F10C7">
              <w:rPr>
                <w:noProof/>
                <w:webHidden/>
              </w:rPr>
              <w:fldChar w:fldCharType="end"/>
            </w:r>
          </w:hyperlink>
        </w:p>
        <w:p w14:paraId="51CCDA2B" w14:textId="04C0C9D5" w:rsidR="008F10C7" w:rsidRDefault="005E0ACB">
          <w:pPr>
            <w:pStyle w:val="TOC3"/>
            <w:tabs>
              <w:tab w:val="right" w:leader="dot" w:pos="9350"/>
            </w:tabs>
            <w:rPr>
              <w:rFonts w:asciiTheme="minorHAnsi" w:eastAsiaTheme="minorEastAsia" w:hAnsiTheme="minorHAnsi"/>
              <w:noProof/>
              <w:spacing w:val="0"/>
              <w:kern w:val="2"/>
              <w14:ligatures w14:val="standardContextual"/>
            </w:rPr>
          </w:pPr>
          <w:hyperlink w:anchor="_Toc187924189" w:history="1">
            <w:r w:rsidR="008F10C7" w:rsidRPr="00A8261A">
              <w:rPr>
                <w:rStyle w:val="Hyperlink"/>
                <w:noProof/>
              </w:rPr>
              <w:t>6.1.3 – Additional Processing After the MSPB Decision</w:t>
            </w:r>
            <w:r w:rsidR="008F10C7">
              <w:rPr>
                <w:noProof/>
                <w:webHidden/>
              </w:rPr>
              <w:tab/>
            </w:r>
            <w:r w:rsidR="008F10C7">
              <w:rPr>
                <w:noProof/>
                <w:webHidden/>
              </w:rPr>
              <w:fldChar w:fldCharType="begin"/>
            </w:r>
            <w:r w:rsidR="008F10C7">
              <w:rPr>
                <w:noProof/>
                <w:webHidden/>
              </w:rPr>
              <w:instrText xml:space="preserve"> PAGEREF _Toc187924189 \h </w:instrText>
            </w:r>
            <w:r w:rsidR="008F10C7">
              <w:rPr>
                <w:noProof/>
                <w:webHidden/>
              </w:rPr>
            </w:r>
            <w:r w:rsidR="008F10C7">
              <w:rPr>
                <w:noProof/>
                <w:webHidden/>
              </w:rPr>
              <w:fldChar w:fldCharType="separate"/>
            </w:r>
            <w:r w:rsidR="008F10C7">
              <w:rPr>
                <w:noProof/>
                <w:webHidden/>
              </w:rPr>
              <w:t>84</w:t>
            </w:r>
            <w:r w:rsidR="008F10C7">
              <w:rPr>
                <w:noProof/>
                <w:webHidden/>
              </w:rPr>
              <w:fldChar w:fldCharType="end"/>
            </w:r>
          </w:hyperlink>
        </w:p>
        <w:p w14:paraId="3ADA8DCC" w14:textId="4CE570BD" w:rsidR="008F10C7" w:rsidRDefault="005E0ACB">
          <w:pPr>
            <w:pStyle w:val="TOC1"/>
            <w:tabs>
              <w:tab w:val="right" w:leader="dot" w:pos="9350"/>
            </w:tabs>
            <w:rPr>
              <w:rFonts w:asciiTheme="minorHAnsi" w:eastAsiaTheme="minorEastAsia" w:hAnsiTheme="minorHAnsi"/>
              <w:b w:val="0"/>
              <w:noProof/>
              <w:spacing w:val="0"/>
              <w:kern w:val="2"/>
              <w14:ligatures w14:val="standardContextual"/>
            </w:rPr>
          </w:pPr>
          <w:hyperlink w:anchor="_Toc187924190" w:history="1">
            <w:r w:rsidR="008F10C7" w:rsidRPr="00A8261A">
              <w:rPr>
                <w:rStyle w:val="Hyperlink"/>
                <w:noProof/>
              </w:rPr>
              <w:t>Volume 7:</w:t>
            </w:r>
            <w:r w:rsidR="008F10C7" w:rsidRPr="00A8261A">
              <w:rPr>
                <w:rStyle w:val="Hyperlink"/>
                <w:noProof/>
                <w:spacing w:val="-15"/>
              </w:rPr>
              <w:t xml:space="preserve"> </w:t>
            </w:r>
            <w:r w:rsidR="008F10C7" w:rsidRPr="00A8261A">
              <w:rPr>
                <w:rStyle w:val="Hyperlink"/>
                <w:noProof/>
                <w:spacing w:val="-1"/>
              </w:rPr>
              <w:t xml:space="preserve"> </w:t>
            </w:r>
            <w:r w:rsidR="008F10C7" w:rsidRPr="00A8261A">
              <w:rPr>
                <w:rStyle w:val="Hyperlink"/>
                <w:noProof/>
              </w:rPr>
              <w:t>Administrative Matters</w:t>
            </w:r>
            <w:r w:rsidR="008F10C7">
              <w:rPr>
                <w:noProof/>
                <w:webHidden/>
              </w:rPr>
              <w:tab/>
            </w:r>
            <w:r w:rsidR="008F10C7">
              <w:rPr>
                <w:noProof/>
                <w:webHidden/>
              </w:rPr>
              <w:fldChar w:fldCharType="begin"/>
            </w:r>
            <w:r w:rsidR="008F10C7">
              <w:rPr>
                <w:noProof/>
                <w:webHidden/>
              </w:rPr>
              <w:instrText xml:space="preserve"> PAGEREF _Toc187924190 \h </w:instrText>
            </w:r>
            <w:r w:rsidR="008F10C7">
              <w:rPr>
                <w:noProof/>
                <w:webHidden/>
              </w:rPr>
            </w:r>
            <w:r w:rsidR="008F10C7">
              <w:rPr>
                <w:noProof/>
                <w:webHidden/>
              </w:rPr>
              <w:fldChar w:fldCharType="separate"/>
            </w:r>
            <w:r w:rsidR="008F10C7">
              <w:rPr>
                <w:noProof/>
                <w:webHidden/>
              </w:rPr>
              <w:t>85</w:t>
            </w:r>
            <w:r w:rsidR="008F10C7">
              <w:rPr>
                <w:noProof/>
                <w:webHidden/>
              </w:rPr>
              <w:fldChar w:fldCharType="end"/>
            </w:r>
          </w:hyperlink>
        </w:p>
        <w:p w14:paraId="6D7E8D58" w14:textId="060245DB" w:rsidR="008F10C7" w:rsidRDefault="005E0ACB">
          <w:pPr>
            <w:pStyle w:val="TOC2"/>
            <w:rPr>
              <w:rFonts w:asciiTheme="minorHAnsi" w:eastAsiaTheme="minorEastAsia" w:hAnsiTheme="minorHAnsi"/>
              <w:noProof/>
              <w:spacing w:val="0"/>
              <w:kern w:val="2"/>
              <w14:ligatures w14:val="standardContextual"/>
            </w:rPr>
          </w:pPr>
          <w:hyperlink w:anchor="_Toc187924191" w:history="1">
            <w:r w:rsidR="008F10C7" w:rsidRPr="00A8261A">
              <w:rPr>
                <w:rStyle w:val="Hyperlink"/>
                <w:noProof/>
                <w:shd w:val="clear" w:color="auto" w:fill="FFFFFF"/>
              </w:rPr>
              <w:t>7.1 – Safeguarding Information</w:t>
            </w:r>
            <w:r w:rsidR="008F10C7">
              <w:rPr>
                <w:noProof/>
                <w:webHidden/>
              </w:rPr>
              <w:tab/>
            </w:r>
            <w:r w:rsidR="008F10C7">
              <w:rPr>
                <w:noProof/>
                <w:webHidden/>
              </w:rPr>
              <w:fldChar w:fldCharType="begin"/>
            </w:r>
            <w:r w:rsidR="008F10C7">
              <w:rPr>
                <w:noProof/>
                <w:webHidden/>
              </w:rPr>
              <w:instrText xml:space="preserve"> PAGEREF _Toc187924191 \h </w:instrText>
            </w:r>
            <w:r w:rsidR="008F10C7">
              <w:rPr>
                <w:noProof/>
                <w:webHidden/>
              </w:rPr>
            </w:r>
            <w:r w:rsidR="008F10C7">
              <w:rPr>
                <w:noProof/>
                <w:webHidden/>
              </w:rPr>
              <w:fldChar w:fldCharType="separate"/>
            </w:r>
            <w:r w:rsidR="008F10C7">
              <w:rPr>
                <w:noProof/>
                <w:webHidden/>
              </w:rPr>
              <w:t>86</w:t>
            </w:r>
            <w:r w:rsidR="008F10C7">
              <w:rPr>
                <w:noProof/>
                <w:webHidden/>
              </w:rPr>
              <w:fldChar w:fldCharType="end"/>
            </w:r>
          </w:hyperlink>
        </w:p>
        <w:p w14:paraId="2B0158B0" w14:textId="500DEC51" w:rsidR="008F10C7" w:rsidRDefault="005E0ACB">
          <w:pPr>
            <w:pStyle w:val="TOC2"/>
            <w:rPr>
              <w:rFonts w:asciiTheme="minorHAnsi" w:eastAsiaTheme="minorEastAsia" w:hAnsiTheme="minorHAnsi"/>
              <w:noProof/>
              <w:spacing w:val="0"/>
              <w:kern w:val="2"/>
              <w14:ligatures w14:val="standardContextual"/>
            </w:rPr>
          </w:pPr>
          <w:hyperlink w:anchor="_Toc187924192" w:history="1">
            <w:r w:rsidR="008F10C7" w:rsidRPr="00A8261A">
              <w:rPr>
                <w:rStyle w:val="Hyperlink"/>
                <w:noProof/>
                <w:shd w:val="clear" w:color="auto" w:fill="FFFFFF"/>
              </w:rPr>
              <w:t>7.2 – OPM Oversight</w:t>
            </w:r>
            <w:r w:rsidR="008F10C7">
              <w:rPr>
                <w:noProof/>
                <w:webHidden/>
              </w:rPr>
              <w:tab/>
            </w:r>
            <w:r w:rsidR="008F10C7">
              <w:rPr>
                <w:noProof/>
                <w:webHidden/>
              </w:rPr>
              <w:fldChar w:fldCharType="begin"/>
            </w:r>
            <w:r w:rsidR="008F10C7">
              <w:rPr>
                <w:noProof/>
                <w:webHidden/>
              </w:rPr>
              <w:instrText xml:space="preserve"> PAGEREF _Toc187924192 \h </w:instrText>
            </w:r>
            <w:r w:rsidR="008F10C7">
              <w:rPr>
                <w:noProof/>
                <w:webHidden/>
              </w:rPr>
            </w:r>
            <w:r w:rsidR="008F10C7">
              <w:rPr>
                <w:noProof/>
                <w:webHidden/>
              </w:rPr>
              <w:fldChar w:fldCharType="separate"/>
            </w:r>
            <w:r w:rsidR="008F10C7">
              <w:rPr>
                <w:noProof/>
                <w:webHidden/>
              </w:rPr>
              <w:t>86</w:t>
            </w:r>
            <w:r w:rsidR="008F10C7">
              <w:rPr>
                <w:noProof/>
                <w:webHidden/>
              </w:rPr>
              <w:fldChar w:fldCharType="end"/>
            </w:r>
          </w:hyperlink>
        </w:p>
        <w:p w14:paraId="6DB42B2E" w14:textId="3A2FBD18" w:rsidR="008F10C7" w:rsidRDefault="005E0ACB">
          <w:pPr>
            <w:pStyle w:val="TOC2"/>
            <w:rPr>
              <w:rFonts w:asciiTheme="minorHAnsi" w:eastAsiaTheme="minorEastAsia" w:hAnsiTheme="minorHAnsi"/>
              <w:noProof/>
              <w:spacing w:val="0"/>
              <w:kern w:val="2"/>
              <w14:ligatures w14:val="standardContextual"/>
            </w:rPr>
          </w:pPr>
          <w:hyperlink w:anchor="_Toc187924193" w:history="1">
            <w:r w:rsidR="008F10C7" w:rsidRPr="00A8261A">
              <w:rPr>
                <w:rStyle w:val="Hyperlink"/>
                <w:noProof/>
              </w:rPr>
              <w:t>7.3 – OPM Contacts</w:t>
            </w:r>
            <w:r w:rsidR="008F10C7">
              <w:rPr>
                <w:noProof/>
                <w:webHidden/>
              </w:rPr>
              <w:tab/>
            </w:r>
            <w:r w:rsidR="008F10C7">
              <w:rPr>
                <w:noProof/>
                <w:webHidden/>
              </w:rPr>
              <w:fldChar w:fldCharType="begin"/>
            </w:r>
            <w:r w:rsidR="008F10C7">
              <w:rPr>
                <w:noProof/>
                <w:webHidden/>
              </w:rPr>
              <w:instrText xml:space="preserve"> PAGEREF _Toc187924193 \h </w:instrText>
            </w:r>
            <w:r w:rsidR="008F10C7">
              <w:rPr>
                <w:noProof/>
                <w:webHidden/>
              </w:rPr>
            </w:r>
            <w:r w:rsidR="008F10C7">
              <w:rPr>
                <w:noProof/>
                <w:webHidden/>
              </w:rPr>
              <w:fldChar w:fldCharType="separate"/>
            </w:r>
            <w:r w:rsidR="008F10C7">
              <w:rPr>
                <w:noProof/>
                <w:webHidden/>
              </w:rPr>
              <w:t>87</w:t>
            </w:r>
            <w:r w:rsidR="008F10C7">
              <w:rPr>
                <w:noProof/>
                <w:webHidden/>
              </w:rPr>
              <w:fldChar w:fldCharType="end"/>
            </w:r>
          </w:hyperlink>
        </w:p>
        <w:p w14:paraId="33E97C59" w14:textId="0CD5433C" w:rsidR="008F10C7" w:rsidRDefault="005E0ACB">
          <w:pPr>
            <w:pStyle w:val="TOC2"/>
            <w:rPr>
              <w:rFonts w:asciiTheme="minorHAnsi" w:eastAsiaTheme="minorEastAsia" w:hAnsiTheme="minorHAnsi"/>
              <w:noProof/>
              <w:spacing w:val="0"/>
              <w:kern w:val="2"/>
              <w14:ligatures w14:val="standardContextual"/>
            </w:rPr>
          </w:pPr>
          <w:hyperlink w:anchor="_Toc187924194" w:history="1">
            <w:r w:rsidR="008F10C7" w:rsidRPr="00A8261A">
              <w:rPr>
                <w:rStyle w:val="Hyperlink"/>
                <w:noProof/>
              </w:rPr>
              <w:t>7.4 – Sample Letters [Reserved]</w:t>
            </w:r>
            <w:r w:rsidR="008F10C7">
              <w:rPr>
                <w:noProof/>
                <w:webHidden/>
              </w:rPr>
              <w:tab/>
            </w:r>
            <w:r w:rsidR="008F10C7">
              <w:rPr>
                <w:noProof/>
                <w:webHidden/>
              </w:rPr>
              <w:fldChar w:fldCharType="begin"/>
            </w:r>
            <w:r w:rsidR="008F10C7">
              <w:rPr>
                <w:noProof/>
                <w:webHidden/>
              </w:rPr>
              <w:instrText xml:space="preserve"> PAGEREF _Toc187924194 \h </w:instrText>
            </w:r>
            <w:r w:rsidR="008F10C7">
              <w:rPr>
                <w:noProof/>
                <w:webHidden/>
              </w:rPr>
            </w:r>
            <w:r w:rsidR="008F10C7">
              <w:rPr>
                <w:noProof/>
                <w:webHidden/>
              </w:rPr>
              <w:fldChar w:fldCharType="separate"/>
            </w:r>
            <w:r w:rsidR="008F10C7">
              <w:rPr>
                <w:noProof/>
                <w:webHidden/>
              </w:rPr>
              <w:t>88</w:t>
            </w:r>
            <w:r w:rsidR="008F10C7">
              <w:rPr>
                <w:noProof/>
                <w:webHidden/>
              </w:rPr>
              <w:fldChar w:fldCharType="end"/>
            </w:r>
          </w:hyperlink>
        </w:p>
        <w:p w14:paraId="59F3F919" w14:textId="1F5426E5" w:rsidR="00072BDA" w:rsidRDefault="00072BDA" w:rsidP="36A80A07">
          <w:pPr>
            <w:pStyle w:val="TOC2"/>
            <w:tabs>
              <w:tab w:val="clear" w:pos="9350"/>
              <w:tab w:val="right" w:leader="dot" w:pos="9345"/>
            </w:tabs>
            <w:rPr>
              <w:rStyle w:val="Hyperlink"/>
              <w:noProof/>
              <w:spacing w:val="0"/>
              <w:kern w:val="2"/>
              <w14:ligatures w14:val="standardContextual"/>
            </w:rPr>
          </w:pPr>
          <w:r>
            <w:fldChar w:fldCharType="end"/>
          </w:r>
        </w:p>
      </w:sdtContent>
    </w:sdt>
    <w:p w14:paraId="12EAB08F" w14:textId="7FA81A5B" w:rsidR="00365440" w:rsidRDefault="00365440" w:rsidP="548D0660">
      <w:pPr>
        <w:pStyle w:val="TOC2"/>
        <w:tabs>
          <w:tab w:val="clear" w:pos="9350"/>
          <w:tab w:val="right" w:leader="dot" w:pos="9345"/>
        </w:tabs>
        <w:rPr>
          <w:rStyle w:val="Hyperlink"/>
          <w:noProof/>
          <w:spacing w:val="0"/>
          <w:kern w:val="2"/>
          <w14:ligatures w14:val="standardContextual"/>
        </w:rPr>
      </w:pPr>
    </w:p>
    <w:p w14:paraId="54E72FC7" w14:textId="50842AD3" w:rsidR="009803D3" w:rsidRDefault="009803D3"/>
    <w:p w14:paraId="7CB833FE" w14:textId="77777777" w:rsidR="00946EF5" w:rsidRDefault="00946EF5" w:rsidP="00946EF5">
      <w:bookmarkStart w:id="0" w:name="_Toc187052925"/>
      <w:bookmarkStart w:id="1" w:name="Volume1"/>
    </w:p>
    <w:p w14:paraId="72378F9C" w14:textId="77777777" w:rsidR="00946EF5" w:rsidRDefault="00946EF5" w:rsidP="00946EF5"/>
    <w:p w14:paraId="246648FE" w14:textId="77777777" w:rsidR="00946EF5" w:rsidRDefault="00946EF5" w:rsidP="00946EF5"/>
    <w:p w14:paraId="02BD2F8F" w14:textId="77777777" w:rsidR="00946EF5" w:rsidRDefault="00946EF5" w:rsidP="00946EF5"/>
    <w:p w14:paraId="097AD910" w14:textId="77777777" w:rsidR="00946EF5" w:rsidRDefault="00946EF5" w:rsidP="00946EF5"/>
    <w:p w14:paraId="20AA849B" w14:textId="77777777" w:rsidR="00946EF5" w:rsidRDefault="00946EF5" w:rsidP="00946EF5"/>
    <w:p w14:paraId="1B03E209" w14:textId="77777777" w:rsidR="00946EF5" w:rsidRDefault="00946EF5" w:rsidP="00946EF5"/>
    <w:p w14:paraId="64BAA47F" w14:textId="77777777" w:rsidR="00946EF5" w:rsidRDefault="00946EF5" w:rsidP="00946EF5"/>
    <w:p w14:paraId="736094B9" w14:textId="77777777" w:rsidR="00946EF5" w:rsidRDefault="00946EF5" w:rsidP="00946EF5"/>
    <w:p w14:paraId="5561AC49" w14:textId="77777777" w:rsidR="00946EF5" w:rsidRDefault="00946EF5" w:rsidP="00946EF5"/>
    <w:p w14:paraId="767AD12A" w14:textId="77777777" w:rsidR="00946EF5" w:rsidRDefault="00946EF5" w:rsidP="00946EF5"/>
    <w:p w14:paraId="50A4C858" w14:textId="77777777" w:rsidR="00946EF5" w:rsidRDefault="00946EF5" w:rsidP="00946EF5"/>
    <w:p w14:paraId="257A22BE" w14:textId="77777777" w:rsidR="00946EF5" w:rsidRDefault="00946EF5" w:rsidP="00946EF5"/>
    <w:p w14:paraId="03810702" w14:textId="5A6F590D" w:rsidR="00B404BD" w:rsidRDefault="005F17EA" w:rsidP="00CC6565">
      <w:pPr>
        <w:pStyle w:val="H1Section"/>
        <w:spacing w:after="240"/>
      </w:pPr>
      <w:bookmarkStart w:id="2" w:name="_Toc187924123"/>
      <w:r>
        <w:t>Preamble</w:t>
      </w:r>
      <w:bookmarkEnd w:id="0"/>
      <w:bookmarkEnd w:id="2"/>
    </w:p>
    <w:bookmarkEnd w:id="1"/>
    <w:p w14:paraId="20648AF2" w14:textId="270A8B05" w:rsidR="00B404BD" w:rsidRPr="006910E5" w:rsidRDefault="00B404BD" w:rsidP="00030C7C">
      <w:pPr>
        <w:rPr>
          <w:rFonts w:eastAsia="Times New Roman" w:cs="Sans Serif Collection"/>
          <w:spacing w:val="0"/>
        </w:rPr>
      </w:pPr>
      <w:r w:rsidRPr="006910E5">
        <w:rPr>
          <w:rFonts w:eastAsia="Times New Roman" w:cs="Sans Serif Collection"/>
          <w:spacing w:val="0"/>
        </w:rPr>
        <w:t xml:space="preserve">This Manual is for use by Office of Personnel Management (OPM) adjudicative staff and personnel of other Federal agency offices who handle suitability and fitness case processing and adjudication. </w:t>
      </w:r>
      <w:r w:rsidR="005F17EA" w:rsidRPr="006910E5">
        <w:rPr>
          <w:rFonts w:eastAsia="Times New Roman" w:cs="Sans Serif Collection"/>
          <w:spacing w:val="0"/>
        </w:rPr>
        <w:t xml:space="preserve">This Manual provides a basis for </w:t>
      </w:r>
      <w:r w:rsidR="00A7051C">
        <w:rPr>
          <w:rFonts w:eastAsia="Times New Roman" w:cs="Sans Serif Collection"/>
          <w:spacing w:val="0"/>
        </w:rPr>
        <w:t>g</w:t>
      </w:r>
      <w:r w:rsidR="005F17EA" w:rsidRPr="006910E5">
        <w:rPr>
          <w:rFonts w:eastAsia="Times New Roman" w:cs="Sans Serif Collection"/>
          <w:spacing w:val="0"/>
        </w:rPr>
        <w:t>overnment</w:t>
      </w:r>
      <w:r w:rsidR="00BB21FA">
        <w:rPr>
          <w:rFonts w:eastAsia="Times New Roman" w:cs="Sans Serif Collection"/>
          <w:spacing w:val="0"/>
        </w:rPr>
        <w:t>-</w:t>
      </w:r>
      <w:r w:rsidR="005F17EA" w:rsidRPr="006910E5">
        <w:rPr>
          <w:rFonts w:eastAsia="Times New Roman" w:cs="Sans Serif Collection"/>
          <w:spacing w:val="0"/>
        </w:rPr>
        <w:t xml:space="preserve">wide uniformity in suitability and fitness case processing and adjudication. </w:t>
      </w:r>
    </w:p>
    <w:p w14:paraId="0DC86BD2" w14:textId="426B99A6" w:rsidR="00361A7B" w:rsidRPr="006910E5" w:rsidRDefault="00B404BD" w:rsidP="006B20A0">
      <w:pPr>
        <w:rPr>
          <w:rFonts w:eastAsia="Times New Roman" w:cs="Sans Serif Collection"/>
          <w:spacing w:val="0"/>
        </w:rPr>
      </w:pPr>
      <w:r w:rsidRPr="006910E5">
        <w:rPr>
          <w:rFonts w:eastAsia="Times New Roman" w:cs="Sans Serif Collection"/>
          <w:spacing w:val="0"/>
        </w:rPr>
        <w:t>This Manual provides supplemental guidance referred to in 5 C</w:t>
      </w:r>
      <w:r w:rsidR="00BB21FA">
        <w:rPr>
          <w:rFonts w:eastAsia="Times New Roman" w:cs="Sans Serif Collection"/>
          <w:spacing w:val="0"/>
        </w:rPr>
        <w:t>.</w:t>
      </w:r>
      <w:r w:rsidRPr="006910E5">
        <w:rPr>
          <w:rFonts w:eastAsia="Times New Roman" w:cs="Sans Serif Collection"/>
          <w:spacing w:val="0"/>
        </w:rPr>
        <w:t>F</w:t>
      </w:r>
      <w:r w:rsidR="00BB21FA">
        <w:rPr>
          <w:rFonts w:eastAsia="Times New Roman" w:cs="Sans Serif Collection"/>
          <w:spacing w:val="0"/>
        </w:rPr>
        <w:t>.</w:t>
      </w:r>
      <w:r w:rsidRPr="006910E5">
        <w:rPr>
          <w:rFonts w:eastAsia="Times New Roman" w:cs="Sans Serif Collection"/>
          <w:spacing w:val="0"/>
        </w:rPr>
        <w:t>R</w:t>
      </w:r>
      <w:r w:rsidR="00BB21FA">
        <w:rPr>
          <w:rFonts w:eastAsia="Times New Roman" w:cs="Sans Serif Collection"/>
          <w:spacing w:val="0"/>
        </w:rPr>
        <w:t>.</w:t>
      </w:r>
      <w:r w:rsidRPr="006910E5">
        <w:rPr>
          <w:rFonts w:eastAsia="Times New Roman" w:cs="Sans Serif Collection"/>
          <w:spacing w:val="0"/>
        </w:rPr>
        <w:t xml:space="preserve"> </w:t>
      </w:r>
      <w:r w:rsidR="6EE10FD9" w:rsidRPr="548D0660">
        <w:rPr>
          <w:rFonts w:eastAsia="Times New Roman" w:cs="Times New Roman"/>
          <w:color w:val="000000" w:themeColor="text1"/>
        </w:rPr>
        <w:t xml:space="preserve">§ </w:t>
      </w:r>
      <w:r w:rsidRPr="006910E5">
        <w:rPr>
          <w:rFonts w:eastAsia="Times New Roman" w:cs="Sans Serif Collection"/>
          <w:spacing w:val="0"/>
        </w:rPr>
        <w:t>731.102(b). Additionally, agencies must exercise due regard to the applicable guidance on making fitness determinations within this Manual if determining fitness for employment as a contractor employee or as a nonappropriated fund employee (5 C</w:t>
      </w:r>
      <w:r w:rsidR="00BB21FA">
        <w:rPr>
          <w:rFonts w:eastAsia="Times New Roman" w:cs="Sans Serif Collection"/>
          <w:spacing w:val="0"/>
        </w:rPr>
        <w:t>.</w:t>
      </w:r>
      <w:r w:rsidRPr="006910E5">
        <w:rPr>
          <w:rFonts w:eastAsia="Times New Roman" w:cs="Sans Serif Collection"/>
          <w:spacing w:val="0"/>
        </w:rPr>
        <w:t>F</w:t>
      </w:r>
      <w:r w:rsidR="00BB21FA">
        <w:rPr>
          <w:rFonts w:eastAsia="Times New Roman" w:cs="Sans Serif Collection"/>
          <w:spacing w:val="0"/>
        </w:rPr>
        <w:t>.</w:t>
      </w:r>
      <w:r w:rsidRPr="006910E5">
        <w:rPr>
          <w:rFonts w:eastAsia="Times New Roman" w:cs="Sans Serif Collection"/>
          <w:spacing w:val="0"/>
        </w:rPr>
        <w:t>R</w:t>
      </w:r>
      <w:r w:rsidR="00BB21FA">
        <w:rPr>
          <w:rFonts w:eastAsia="Times New Roman" w:cs="Sans Serif Collection"/>
          <w:spacing w:val="0"/>
        </w:rPr>
        <w:t>.</w:t>
      </w:r>
      <w:r w:rsidRPr="006910E5">
        <w:rPr>
          <w:rFonts w:eastAsia="Times New Roman" w:cs="Sans Serif Collection"/>
          <w:spacing w:val="0"/>
        </w:rPr>
        <w:t xml:space="preserve"> </w:t>
      </w:r>
      <w:r w:rsidR="389CDF92" w:rsidRPr="548D0660">
        <w:rPr>
          <w:rFonts w:eastAsia="Times New Roman" w:cs="Times New Roman"/>
          <w:color w:val="000000" w:themeColor="text1"/>
        </w:rPr>
        <w:t xml:space="preserve">§ </w:t>
      </w:r>
      <w:r w:rsidRPr="006910E5">
        <w:rPr>
          <w:rFonts w:eastAsia="Times New Roman" w:cs="Sans Serif Collection"/>
          <w:spacing w:val="0"/>
        </w:rPr>
        <w:t xml:space="preserve">731.101(c)). While this Manual provides guidance on </w:t>
      </w:r>
      <w:r w:rsidR="00BB21FA">
        <w:rPr>
          <w:rFonts w:eastAsia="Times New Roman" w:cs="Sans Serif Collection"/>
          <w:spacing w:val="0"/>
        </w:rPr>
        <w:t>5 C.F.R. p</w:t>
      </w:r>
      <w:r w:rsidRPr="006910E5">
        <w:rPr>
          <w:rFonts w:eastAsia="Times New Roman" w:cs="Sans Serif Collection"/>
          <w:spacing w:val="0"/>
        </w:rPr>
        <w:t>art 731, there are numerous policy and operational issuances by OPM and the Office of the Director of National Intelligence, as the Suitability and Credentialing and Security Executive Agents (EAs), respectively, that address personnel vetting policies and procedures. Agency vetting personnel</w:t>
      </w:r>
      <w:r w:rsidR="00A2240A" w:rsidRPr="006910E5">
        <w:rPr>
          <w:rFonts w:eastAsia="Times New Roman" w:cs="Sans Serif Collection"/>
          <w:spacing w:val="0"/>
        </w:rPr>
        <w:t xml:space="preserve"> </w:t>
      </w:r>
      <w:r w:rsidRPr="006910E5">
        <w:rPr>
          <w:rFonts w:eastAsia="Times New Roman" w:cs="Sans Serif Collection"/>
          <w:spacing w:val="0"/>
        </w:rPr>
        <w:t>must be familiar with and follow th</w:t>
      </w:r>
      <w:r w:rsidR="00A2240A" w:rsidRPr="006910E5">
        <w:rPr>
          <w:rFonts w:eastAsia="Times New Roman" w:cs="Sans Serif Collection"/>
          <w:spacing w:val="0"/>
        </w:rPr>
        <w:t>o</w:t>
      </w:r>
      <w:r w:rsidRPr="006910E5">
        <w:rPr>
          <w:rFonts w:eastAsia="Times New Roman" w:cs="Sans Serif Collection"/>
          <w:spacing w:val="0"/>
        </w:rPr>
        <w:t>se issuances, as applicable to the work they perform.</w:t>
      </w:r>
    </w:p>
    <w:p w14:paraId="0425792E" w14:textId="7FBCB182" w:rsidR="005F17EA" w:rsidRPr="006910E5" w:rsidRDefault="005F17EA" w:rsidP="00F742D1">
      <w:pPr>
        <w:spacing w:after="60"/>
        <w:rPr>
          <w:rFonts w:eastAsia="Times New Roman" w:cs="Sans Serif Collection"/>
          <w:spacing w:val="0"/>
        </w:rPr>
      </w:pPr>
      <w:r w:rsidRPr="006910E5">
        <w:rPr>
          <w:rFonts w:eastAsia="Times New Roman" w:cs="Sans Serif Collection"/>
          <w:spacing w:val="0"/>
        </w:rPr>
        <w:t>The 5 C</w:t>
      </w:r>
      <w:r w:rsidR="00BB21FA">
        <w:rPr>
          <w:rFonts w:eastAsia="Times New Roman" w:cs="Sans Serif Collection"/>
          <w:spacing w:val="0"/>
        </w:rPr>
        <w:t>.</w:t>
      </w:r>
      <w:r w:rsidRPr="006910E5">
        <w:rPr>
          <w:rFonts w:eastAsia="Times New Roman" w:cs="Sans Serif Collection"/>
          <w:spacing w:val="0"/>
        </w:rPr>
        <w:t>F</w:t>
      </w:r>
      <w:r w:rsidR="00BB21FA">
        <w:rPr>
          <w:rFonts w:eastAsia="Times New Roman" w:cs="Sans Serif Collection"/>
          <w:spacing w:val="0"/>
        </w:rPr>
        <w:t>.</w:t>
      </w:r>
      <w:r w:rsidRPr="006910E5">
        <w:rPr>
          <w:rFonts w:eastAsia="Times New Roman" w:cs="Sans Serif Collection"/>
          <w:spacing w:val="0"/>
        </w:rPr>
        <w:t>R</w:t>
      </w:r>
      <w:r w:rsidR="00BB21FA">
        <w:rPr>
          <w:rFonts w:eastAsia="Times New Roman" w:cs="Sans Serif Collection"/>
          <w:spacing w:val="0"/>
        </w:rPr>
        <w:t>.</w:t>
      </w:r>
      <w:r w:rsidRPr="006910E5">
        <w:rPr>
          <w:rFonts w:eastAsia="Times New Roman" w:cs="Sans Serif Collection"/>
          <w:spacing w:val="0"/>
        </w:rPr>
        <w:t xml:space="preserve"> </w:t>
      </w:r>
      <w:r w:rsidR="00BB21FA">
        <w:rPr>
          <w:rFonts w:eastAsia="Times New Roman" w:cs="Sans Serif Collection"/>
          <w:spacing w:val="0"/>
        </w:rPr>
        <w:t>part</w:t>
      </w:r>
      <w:r w:rsidR="1CA2B020" w:rsidRPr="548D0660">
        <w:rPr>
          <w:rFonts w:eastAsia="Times New Roman" w:cs="Times New Roman"/>
          <w:color w:val="000000" w:themeColor="text1"/>
        </w:rPr>
        <w:t xml:space="preserve"> </w:t>
      </w:r>
      <w:r w:rsidRPr="006910E5">
        <w:rPr>
          <w:rFonts w:eastAsia="Times New Roman" w:cs="Sans Serif Collection"/>
          <w:spacing w:val="0"/>
        </w:rPr>
        <w:t>731 regulation addresses the following:</w:t>
      </w:r>
    </w:p>
    <w:p w14:paraId="0EF0202E" w14:textId="3183B6AC" w:rsidR="005F17EA" w:rsidRPr="006910E5" w:rsidRDefault="005F17EA" w:rsidP="00A06D8B">
      <w:pPr>
        <w:numPr>
          <w:ilvl w:val="0"/>
          <w:numId w:val="12"/>
        </w:numPr>
        <w:spacing w:after="0"/>
        <w:rPr>
          <w:rFonts w:eastAsia="Times New Roman" w:cs="Sans Serif Collection"/>
          <w:spacing w:val="0"/>
        </w:rPr>
      </w:pPr>
      <w:r w:rsidRPr="006910E5">
        <w:rPr>
          <w:rFonts w:eastAsia="Times New Roman" w:cs="Sans Serif Collection"/>
          <w:spacing w:val="0"/>
        </w:rPr>
        <w:t>Aligned position designation requirements, investigative standards, and reciprocity for the civil service, contractor, and Department of Defense (DOD) nonappropriated fund positions.</w:t>
      </w:r>
    </w:p>
    <w:p w14:paraId="2D0F2FF2" w14:textId="77777777" w:rsidR="005F17EA" w:rsidRPr="006910E5" w:rsidRDefault="005F17EA" w:rsidP="00A06D8B">
      <w:pPr>
        <w:numPr>
          <w:ilvl w:val="0"/>
          <w:numId w:val="12"/>
        </w:numPr>
        <w:spacing w:after="0"/>
        <w:rPr>
          <w:rFonts w:eastAsia="Times New Roman" w:cs="Sans Serif Collection"/>
          <w:spacing w:val="0"/>
        </w:rPr>
      </w:pPr>
      <w:r w:rsidRPr="006910E5">
        <w:rPr>
          <w:rFonts w:eastAsia="Times New Roman" w:cs="Sans Serif Collection"/>
          <w:spacing w:val="0"/>
        </w:rPr>
        <w:t>The requirement for continuous vetting of the low risk and non-sensitive public trust populations.</w:t>
      </w:r>
    </w:p>
    <w:p w14:paraId="3AAF2956" w14:textId="27D6323C" w:rsidR="005F17EA" w:rsidRPr="006910E5" w:rsidRDefault="005F17EA" w:rsidP="00A06D8B">
      <w:pPr>
        <w:numPr>
          <w:ilvl w:val="0"/>
          <w:numId w:val="12"/>
        </w:numPr>
        <w:spacing w:after="0"/>
        <w:rPr>
          <w:rFonts w:eastAsia="Times New Roman" w:cs="Sans Serif Collection"/>
          <w:spacing w:val="0"/>
        </w:rPr>
      </w:pPr>
      <w:r w:rsidRPr="006910E5">
        <w:rPr>
          <w:rFonts w:eastAsia="Times New Roman" w:cs="Sans Serif Collection"/>
          <w:spacing w:val="0"/>
        </w:rPr>
        <w:t>Establishe</w:t>
      </w:r>
      <w:r w:rsidR="00E952F3">
        <w:rPr>
          <w:rFonts w:eastAsia="Times New Roman" w:cs="Sans Serif Collection"/>
          <w:spacing w:val="0"/>
        </w:rPr>
        <w:t>d</w:t>
      </w:r>
      <w:r w:rsidRPr="006910E5">
        <w:rPr>
          <w:rFonts w:eastAsia="Times New Roman" w:cs="Sans Serif Collection"/>
          <w:spacing w:val="0"/>
        </w:rPr>
        <w:t xml:space="preserve"> the suitability and fitness criteria that must be applied to much of the civil service</w:t>
      </w:r>
      <w:r w:rsidR="00E16BCD">
        <w:rPr>
          <w:rFonts w:eastAsia="Times New Roman" w:cs="Sans Serif Collection"/>
          <w:spacing w:val="0"/>
        </w:rPr>
        <w:t xml:space="preserve"> </w:t>
      </w:r>
      <w:r w:rsidRPr="7C643FA5">
        <w:rPr>
          <w:rFonts w:eastAsia="Times New Roman" w:cs="Sans Serif Collection"/>
        </w:rPr>
        <w:t xml:space="preserve"> and may be applied to the </w:t>
      </w:r>
      <w:r w:rsidRPr="006910E5">
        <w:rPr>
          <w:rFonts w:eastAsia="Times New Roman" w:cs="Sans Serif Collection"/>
          <w:spacing w:val="0"/>
        </w:rPr>
        <w:t>contractor and DOD nonappropriated fund workforce.</w:t>
      </w:r>
    </w:p>
    <w:p w14:paraId="6CD19A96" w14:textId="77777777" w:rsidR="005F17EA" w:rsidRPr="006910E5" w:rsidRDefault="005F17EA" w:rsidP="004A748F">
      <w:pPr>
        <w:numPr>
          <w:ilvl w:val="0"/>
          <w:numId w:val="12"/>
        </w:numPr>
        <w:rPr>
          <w:rFonts w:eastAsia="Times New Roman" w:cs="Sans Serif Collection"/>
          <w:spacing w:val="0"/>
        </w:rPr>
      </w:pPr>
      <w:r w:rsidRPr="006910E5">
        <w:rPr>
          <w:rFonts w:eastAsia="Times New Roman" w:cs="Sans Serif Collection"/>
          <w:spacing w:val="0"/>
        </w:rPr>
        <w:t>Specified procedures for suitability actions by OPM and agencies.</w:t>
      </w:r>
    </w:p>
    <w:p w14:paraId="79C95780" w14:textId="74322300" w:rsidR="005F17EA" w:rsidRPr="006910E5" w:rsidRDefault="005F17EA" w:rsidP="004A748F">
      <w:pPr>
        <w:rPr>
          <w:rFonts w:eastAsia="Times New Roman" w:cs="Times New Roman"/>
          <w:spacing w:val="0"/>
        </w:rPr>
      </w:pPr>
      <w:r w:rsidRPr="006910E5">
        <w:rPr>
          <w:rFonts w:eastAsia="Times New Roman" w:cs="Times New Roman"/>
          <w:spacing w:val="0"/>
        </w:rPr>
        <w:t xml:space="preserve">Public service requires high standards of integrity and trust to promote the interests of the public. Suitability and fitness refer to a decision by an agency that an individual does or does not have the required level of character or conduct necessary to perform work for or on behalf of a Federal agency. These determinations are based on whether a person’s character or conduct may have an adverse impact on the integrity or efficiency of the service. The difference in terminology, as to suitability or fitness, is based on the type of position being adjudicated. Suitability determinations are made in reference to positions in the competitive service, positions in the excepted service that can noncompetitively convert to the competitive service, or career Senior Executive Service positions (hereinafter referred to as competitive service and career Senior Executive Service) whereas fitness determinations are made for excepted service positions, contractor positions, or DOD nonappropriated fund positions. </w:t>
      </w:r>
    </w:p>
    <w:p w14:paraId="2F4C7CFF" w14:textId="464CED8F" w:rsidR="00B404BD" w:rsidRPr="006910E5" w:rsidRDefault="005F17EA" w:rsidP="004A748F">
      <w:pPr>
        <w:rPr>
          <w:rFonts w:eastAsia="Times New Roman" w:cs="Times New Roman"/>
          <w:spacing w:val="0"/>
        </w:rPr>
      </w:pPr>
      <w:r w:rsidRPr="006910E5">
        <w:rPr>
          <w:rFonts w:eastAsia="Times New Roman" w:cs="Times New Roman"/>
          <w:spacing w:val="0"/>
        </w:rPr>
        <w:t xml:space="preserve">OPM established a suitability adjudication program in the Federal competitive service to reduce the potential for abuse of public trust and to ensure </w:t>
      </w:r>
      <w:r w:rsidR="00BB21FA">
        <w:rPr>
          <w:rFonts w:eastAsia="Times New Roman" w:cs="Times New Roman"/>
          <w:spacing w:val="0"/>
        </w:rPr>
        <w:t>government-</w:t>
      </w:r>
      <w:r w:rsidRPr="006910E5">
        <w:rPr>
          <w:rFonts w:eastAsia="Times New Roman" w:cs="Times New Roman"/>
          <w:spacing w:val="0"/>
        </w:rPr>
        <w:t xml:space="preserve">wide uniformity and fairness for applicants, appointees, and employees, when determinations about their suitability for Federal employment are made. Additionally, OPM established minimum </w:t>
      </w:r>
      <w:r w:rsidRPr="006910E5">
        <w:rPr>
          <w:rFonts w:eastAsia="Times New Roman" w:cs="Times New Roman"/>
          <w:spacing w:val="0"/>
        </w:rPr>
        <w:lastRenderedPageBreak/>
        <w:t>standards of fitness that apply to much of the excepted service and can be used for contractor and DOD nonappropriated funds position.</w:t>
      </w:r>
    </w:p>
    <w:p w14:paraId="24641702" w14:textId="0BC59706" w:rsidR="00B404BD" w:rsidRPr="00757784" w:rsidRDefault="00B404BD" w:rsidP="00554512">
      <w:pPr>
        <w:spacing w:after="60"/>
        <w:rPr>
          <w:rFonts w:eastAsia="Times New Roman" w:cs="Sans Serif Collection"/>
          <w:spacing w:val="0"/>
        </w:rPr>
      </w:pPr>
      <w:r w:rsidRPr="00757784">
        <w:rPr>
          <w:rFonts w:eastAsia="Times New Roman" w:cs="Sans Serif Collection"/>
          <w:spacing w:val="0"/>
        </w:rPr>
        <w:t>Thorough knowledge of this Manual coupled with National Training Standards compliant training and understanding of Trusted Workforce 2.0 policies and requirements</w:t>
      </w:r>
      <w:r w:rsidR="00043474" w:rsidRPr="64DB3116">
        <w:rPr>
          <w:rFonts w:eastAsia="Times New Roman" w:cs="Sans Serif Collection"/>
        </w:rPr>
        <w:t>,</w:t>
      </w:r>
      <w:r w:rsidRPr="00757784">
        <w:rPr>
          <w:rFonts w:eastAsia="Times New Roman" w:cs="Sans Serif Collection"/>
          <w:spacing w:val="0"/>
        </w:rPr>
        <w:t xml:space="preserve"> helps with promoting efficient and effective vetting processing while also protecting the civil liberties and privacy of individuals undergoing vetting. The </w:t>
      </w:r>
      <w:r w:rsidRPr="00E94524">
        <w:rPr>
          <w:rFonts w:eastAsia="Times New Roman" w:cs="Sans Serif Collection"/>
          <w:b/>
          <w:bCs/>
        </w:rPr>
        <w:t>Common Principles in Applying Federal Personnel Vetting Adjudicative Standards</w:t>
      </w:r>
      <w:r w:rsidRPr="00757784">
        <w:rPr>
          <w:rFonts w:eastAsia="Times New Roman" w:cs="Sans Serif Collection"/>
          <w:b/>
          <w:bCs/>
          <w:spacing w:val="0"/>
        </w:rPr>
        <w:t xml:space="preserve"> </w:t>
      </w:r>
      <w:r w:rsidRPr="00757784">
        <w:rPr>
          <w:rFonts w:eastAsia="Times New Roman" w:cs="Sans Serif Collection"/>
          <w:spacing w:val="0"/>
        </w:rPr>
        <w:t>(Common Principles) specify requirements that adjudicators must follow which for emphasis, are restated here (see Common Principles Section IV.A.5i-viii</w:t>
      </w:r>
      <w:r w:rsidRPr="64DB3116">
        <w:rPr>
          <w:rFonts w:eastAsia="Times New Roman" w:cs="Sans Serif Collection"/>
          <w:i/>
          <w:iCs/>
          <w:spacing w:val="0"/>
        </w:rPr>
        <w:t>)</w:t>
      </w:r>
      <w:r w:rsidRPr="00757784">
        <w:rPr>
          <w:rFonts w:eastAsia="Times New Roman" w:cs="Sans Serif Collection"/>
          <w:spacing w:val="0"/>
        </w:rPr>
        <w:t xml:space="preserve">: </w:t>
      </w:r>
    </w:p>
    <w:p w14:paraId="196DECAE" w14:textId="52247F50" w:rsidR="00D232D4" w:rsidRPr="00757784" w:rsidRDefault="00B404BD" w:rsidP="00A06D8B">
      <w:pPr>
        <w:pStyle w:val="ListParagraph"/>
        <w:numPr>
          <w:ilvl w:val="0"/>
          <w:numId w:val="14"/>
        </w:numPr>
        <w:spacing w:after="0"/>
        <w:contextualSpacing w:val="0"/>
        <w:rPr>
          <w:rFonts w:eastAsia="Calibri" w:cs="Sans Serif Collection"/>
          <w:spacing w:val="0"/>
        </w:rPr>
      </w:pPr>
      <w:r w:rsidRPr="00757784">
        <w:rPr>
          <w:rFonts w:eastAsia="Calibri" w:cs="Sans Serif Collection"/>
          <w:spacing w:val="0"/>
        </w:rPr>
        <w:t xml:space="preserve">Adjudicators will use information that </w:t>
      </w:r>
      <w:r w:rsidR="00AD069A" w:rsidRPr="00757784">
        <w:rPr>
          <w:rFonts w:eastAsia="Calibri" w:cs="Sans Serif Collection"/>
          <w:spacing w:val="0"/>
        </w:rPr>
        <w:t>is relevant</w:t>
      </w:r>
      <w:r w:rsidRPr="00757784">
        <w:rPr>
          <w:rFonts w:eastAsia="Calibri" w:cs="Sans Serif Collection"/>
          <w:spacing w:val="0"/>
        </w:rPr>
        <w:t>, timely, and as complete as is reasonably necessary to assure fairness to the individual to make trust determinations using the whole-person concept, where applicable.</w:t>
      </w:r>
    </w:p>
    <w:p w14:paraId="7F24470F" w14:textId="5F855F68" w:rsidR="00D232D4" w:rsidRPr="00757784" w:rsidRDefault="00B404BD" w:rsidP="00A06D8B">
      <w:pPr>
        <w:pStyle w:val="ListParagraph"/>
        <w:numPr>
          <w:ilvl w:val="0"/>
          <w:numId w:val="14"/>
        </w:numPr>
        <w:spacing w:after="0"/>
        <w:contextualSpacing w:val="0"/>
        <w:rPr>
          <w:rFonts w:eastAsia="Times New Roman" w:cs="Sans Serif Collection"/>
          <w:bCs/>
          <w:spacing w:val="0"/>
        </w:rPr>
      </w:pPr>
      <w:r w:rsidRPr="00757784">
        <w:rPr>
          <w:rFonts w:eastAsia="Calibri" w:cs="Sans Serif Collection"/>
          <w:spacing w:val="0"/>
        </w:rPr>
        <w:t xml:space="preserve">Adjudicators will use the adjudicative criteria for trust determinations for the applicable vetting domain(s) </w:t>
      </w:r>
      <w:r w:rsidR="00F20268" w:rsidRPr="00757784">
        <w:rPr>
          <w:rFonts w:eastAsia="Calibri" w:cs="Sans Serif Collection"/>
          <w:spacing w:val="0"/>
        </w:rPr>
        <w:t xml:space="preserve">(suitability, fitness, national security and/or personal identity verification credentialing) </w:t>
      </w:r>
      <w:r w:rsidRPr="00757784">
        <w:rPr>
          <w:rFonts w:eastAsia="Calibri" w:cs="Sans Serif Collection"/>
          <w:spacing w:val="0"/>
        </w:rPr>
        <w:t>and adhere to the adjudicative process framework</w:t>
      </w:r>
      <w:r w:rsidR="00D232D4" w:rsidRPr="00757784">
        <w:rPr>
          <w:rFonts w:eastAsia="Calibri" w:cs="Sans Serif Collection"/>
          <w:spacing w:val="0"/>
        </w:rPr>
        <w:t>.</w:t>
      </w:r>
    </w:p>
    <w:p w14:paraId="7D5B992F" w14:textId="4BADFCFB" w:rsidR="00B404BD" w:rsidRPr="00757784" w:rsidRDefault="00B404BD" w:rsidP="00A06D8B">
      <w:pPr>
        <w:pStyle w:val="ListParagraph"/>
        <w:numPr>
          <w:ilvl w:val="0"/>
          <w:numId w:val="14"/>
        </w:numPr>
        <w:spacing w:after="0"/>
        <w:contextualSpacing w:val="0"/>
        <w:rPr>
          <w:rFonts w:eastAsia="Times New Roman" w:cs="Sans Serif Collection"/>
          <w:bCs/>
          <w:spacing w:val="0"/>
        </w:rPr>
      </w:pPr>
      <w:r w:rsidRPr="00757784">
        <w:rPr>
          <w:rFonts w:eastAsia="Times New Roman" w:cs="Sans Serif Collection"/>
          <w:bCs/>
          <w:spacing w:val="0"/>
        </w:rPr>
        <w:t>Adjudicators will treat all individuals undergoing personnel vetting with fairness, dignity</w:t>
      </w:r>
      <w:r w:rsidR="004D4EF1">
        <w:rPr>
          <w:rFonts w:eastAsia="Times New Roman" w:cs="Sans Serif Collection"/>
          <w:bCs/>
          <w:spacing w:val="0"/>
        </w:rPr>
        <w:t>,</w:t>
      </w:r>
      <w:r w:rsidRPr="00757784">
        <w:rPr>
          <w:rFonts w:eastAsia="Times New Roman" w:cs="Sans Serif Collection"/>
          <w:bCs/>
          <w:spacing w:val="0"/>
        </w:rPr>
        <w:t xml:space="preserve"> and respect by adhering to legal and ethical requirements. Adjudicators shall not engage in unlawful discrimination or take action that is contrary to applicable policy when making a trust determination. As adjudicators make trust determinations, they must ensure compliance with whistleblower protection statutes that prohibit retaliation against individuals who make protected disclosures. </w:t>
      </w:r>
    </w:p>
    <w:p w14:paraId="4251DF79" w14:textId="09B9E5AA" w:rsidR="00D232D4" w:rsidRPr="00757784" w:rsidRDefault="00B404BD" w:rsidP="00A06D8B">
      <w:pPr>
        <w:pStyle w:val="ListParagraph"/>
        <w:numPr>
          <w:ilvl w:val="0"/>
          <w:numId w:val="14"/>
        </w:numPr>
        <w:spacing w:after="0"/>
        <w:contextualSpacing w:val="0"/>
        <w:rPr>
          <w:rFonts w:eastAsia="Times New Roman" w:cs="Sans Serif Collection"/>
          <w:bCs/>
          <w:spacing w:val="0"/>
        </w:rPr>
      </w:pPr>
      <w:r w:rsidRPr="00757784">
        <w:rPr>
          <w:rFonts w:eastAsia="Times New Roman" w:cs="Sans Serif Collection"/>
          <w:bCs/>
          <w:spacing w:val="0"/>
        </w:rPr>
        <w:t>Adjudicators will offer to recuse themselves from adjudicating cases where there may be an actual or perceived conflict of interest.</w:t>
      </w:r>
    </w:p>
    <w:p w14:paraId="399BB693" w14:textId="72BE527F" w:rsidR="00B404BD" w:rsidRPr="00757784" w:rsidRDefault="00B404BD" w:rsidP="00A06D8B">
      <w:pPr>
        <w:pStyle w:val="ListParagraph"/>
        <w:numPr>
          <w:ilvl w:val="0"/>
          <w:numId w:val="14"/>
        </w:numPr>
        <w:spacing w:after="0"/>
        <w:contextualSpacing w:val="0"/>
        <w:rPr>
          <w:rFonts w:eastAsia="Times New Roman" w:cs="Sans Serif Collection"/>
          <w:bCs/>
          <w:spacing w:val="0"/>
        </w:rPr>
      </w:pPr>
      <w:r w:rsidRPr="00757784">
        <w:rPr>
          <w:rFonts w:eastAsia="Times New Roman" w:cs="Sans Serif Collection"/>
          <w:bCs/>
          <w:spacing w:val="0"/>
        </w:rPr>
        <w:t>Adjudicators will request and collect relevant information in accordance with applicable guidance when needed to resolve outstanding matters necessary for adjudication.</w:t>
      </w:r>
    </w:p>
    <w:p w14:paraId="1E42183D" w14:textId="35C5EFFF" w:rsidR="00645F48" w:rsidRPr="001A036A" w:rsidRDefault="00B404BD" w:rsidP="00A06D8B">
      <w:pPr>
        <w:pStyle w:val="ListParagraph"/>
        <w:numPr>
          <w:ilvl w:val="0"/>
          <w:numId w:val="14"/>
        </w:numPr>
        <w:spacing w:after="0"/>
        <w:contextualSpacing w:val="0"/>
        <w:rPr>
          <w:rFonts w:eastAsia="Times New Roman" w:cs="Sans Serif Collection"/>
          <w:bCs/>
          <w:spacing w:val="0"/>
        </w:rPr>
      </w:pPr>
      <w:r w:rsidRPr="001A036A">
        <w:rPr>
          <w:rFonts w:eastAsia="Times New Roman" w:cs="Sans Serif Collection"/>
          <w:bCs/>
          <w:spacing w:val="0"/>
        </w:rPr>
        <w:t>Adjudicators will properly protect, use, share, transmit, and retain information in accordance with law, regulation, and policy.</w:t>
      </w:r>
    </w:p>
    <w:p w14:paraId="256D083D" w14:textId="03586913" w:rsidR="00B404BD" w:rsidRPr="001A036A" w:rsidRDefault="00B404BD" w:rsidP="00A06D8B">
      <w:pPr>
        <w:pStyle w:val="ListParagraph"/>
        <w:numPr>
          <w:ilvl w:val="0"/>
          <w:numId w:val="14"/>
        </w:numPr>
        <w:spacing w:after="0"/>
        <w:contextualSpacing w:val="0"/>
        <w:rPr>
          <w:rFonts w:eastAsia="Times New Roman" w:cs="Sans Serif Collection"/>
          <w:bCs/>
          <w:spacing w:val="0"/>
        </w:rPr>
      </w:pPr>
      <w:r w:rsidRPr="001A036A">
        <w:rPr>
          <w:rFonts w:eastAsia="Times New Roman" w:cs="Sans Serif Collection"/>
          <w:bCs/>
          <w:spacing w:val="0"/>
        </w:rPr>
        <w:t>Adjudicators will refer adjudicatively relevant information to law enforcement, counterintelligence, insider threat, and other mission partners, in accordance with applicable law, regulation, and policy</w:t>
      </w:r>
      <w:r w:rsidRPr="001A036A">
        <w:rPr>
          <w:rFonts w:eastAsia="Times New Roman" w:cs="Sans Serif Collection"/>
          <w:bCs/>
          <w:i/>
          <w:spacing w:val="0"/>
        </w:rPr>
        <w:t>.</w:t>
      </w:r>
      <w:r w:rsidRPr="001A036A">
        <w:rPr>
          <w:rFonts w:eastAsia="Times New Roman" w:cs="Sans Serif Collection"/>
          <w:bCs/>
          <w:spacing w:val="0"/>
        </w:rPr>
        <w:t xml:space="preserve"> </w:t>
      </w:r>
    </w:p>
    <w:p w14:paraId="0AA3F4D4" w14:textId="76E180E7" w:rsidR="00B404BD" w:rsidRPr="001A036A" w:rsidRDefault="00B404BD" w:rsidP="00A06D8B">
      <w:pPr>
        <w:pStyle w:val="ListParagraph"/>
        <w:numPr>
          <w:ilvl w:val="0"/>
          <w:numId w:val="14"/>
        </w:numPr>
        <w:spacing w:after="0"/>
        <w:contextualSpacing w:val="0"/>
        <w:rPr>
          <w:rFonts w:eastAsia="Times New Roman" w:cs="Sans Serif Collection"/>
          <w:bCs/>
          <w:spacing w:val="0"/>
        </w:rPr>
      </w:pPr>
      <w:r w:rsidRPr="001A036A">
        <w:rPr>
          <w:rFonts w:eastAsia="Times New Roman" w:cs="Sans Serif Collection"/>
          <w:bCs/>
          <w:spacing w:val="0"/>
        </w:rPr>
        <w:t>Adjudicators will comply with quality oversight measures established by the Executive Agents including the following requirements to:</w:t>
      </w:r>
    </w:p>
    <w:p w14:paraId="06C1F644" w14:textId="4ED56477" w:rsidR="00B404BD" w:rsidRPr="004E3B7D" w:rsidRDefault="00B404BD" w:rsidP="00A06D8B">
      <w:pPr>
        <w:numPr>
          <w:ilvl w:val="2"/>
          <w:numId w:val="13"/>
        </w:numPr>
        <w:spacing w:after="0"/>
        <w:ind w:left="1354" w:hanging="360"/>
        <w:rPr>
          <w:rFonts w:eastAsia="Times New Roman" w:cs="Sans Serif Collection"/>
          <w:bCs/>
          <w:spacing w:val="0"/>
        </w:rPr>
      </w:pPr>
      <w:r w:rsidRPr="004E3B7D">
        <w:rPr>
          <w:rFonts w:eastAsia="Times New Roman" w:cs="Sans Serif Collection"/>
          <w:bCs/>
          <w:spacing w:val="0"/>
        </w:rPr>
        <w:t>Provide feedback to the authorized personnel vetting investigative service provider</w:t>
      </w:r>
      <w:r w:rsidR="00F20268" w:rsidRPr="004E3B7D">
        <w:rPr>
          <w:rFonts w:eastAsia="Times New Roman" w:cs="Sans Serif Collection"/>
          <w:bCs/>
          <w:spacing w:val="0"/>
        </w:rPr>
        <w:t>s</w:t>
      </w:r>
      <w:r w:rsidRPr="004E3B7D">
        <w:rPr>
          <w:rFonts w:eastAsia="Times New Roman" w:cs="Sans Serif Collection"/>
          <w:bCs/>
          <w:spacing w:val="0"/>
        </w:rPr>
        <w:t xml:space="preserve"> (ISP) on the quality of investigative products (for example, whether coverage requirements were met, the readability and thoroughness of the investigative product, etc.) using an appropriate quality assessment tool.</w:t>
      </w:r>
    </w:p>
    <w:p w14:paraId="65387875" w14:textId="3E0324D4" w:rsidR="00B404BD" w:rsidRPr="004E3B7D" w:rsidRDefault="00B404BD" w:rsidP="004A748F">
      <w:pPr>
        <w:pStyle w:val="ListParagraph"/>
        <w:numPr>
          <w:ilvl w:val="1"/>
          <w:numId w:val="13"/>
        </w:numPr>
        <w:ind w:left="1354"/>
        <w:contextualSpacing w:val="0"/>
        <w:rPr>
          <w:rFonts w:eastAsia="Calibri" w:cs="Sans Serif Collection"/>
          <w:spacing w:val="0"/>
        </w:rPr>
      </w:pPr>
      <w:r w:rsidRPr="004E3B7D">
        <w:rPr>
          <w:rFonts w:eastAsia="Times New Roman" w:cs="Sans Serif Collection"/>
          <w:bCs/>
          <w:spacing w:val="0"/>
        </w:rPr>
        <w:t xml:space="preserve">Promote the quality of adjudicative assessments (for example, peer review) as described in the </w:t>
      </w:r>
      <w:r w:rsidRPr="00E94524">
        <w:rPr>
          <w:rFonts w:eastAsia="Times New Roman" w:cs="Sans Serif Collection"/>
          <w:b/>
          <w:spacing w:val="0"/>
        </w:rPr>
        <w:t>Federal Personnel Vetting Performance Management Standards</w:t>
      </w:r>
      <w:r w:rsidRPr="004E3B7D">
        <w:rPr>
          <w:rFonts w:eastAsia="Times New Roman" w:cs="Sans Serif Collection"/>
          <w:bCs/>
          <w:spacing w:val="0"/>
        </w:rPr>
        <w:t>.</w:t>
      </w:r>
    </w:p>
    <w:p w14:paraId="37109FEE" w14:textId="38C24E80" w:rsidR="005F17EA" w:rsidRPr="00C347EE" w:rsidRDefault="005F17EA" w:rsidP="00D32378">
      <w:pPr>
        <w:rPr>
          <w:rFonts w:eastAsia="Times New Roman" w:cs="Times New Roman"/>
          <w:spacing w:val="0"/>
        </w:rPr>
      </w:pPr>
      <w:r w:rsidRPr="00C347EE">
        <w:rPr>
          <w:rFonts w:eastAsia="Times New Roman" w:cs="Times New Roman"/>
          <w:spacing w:val="0"/>
        </w:rPr>
        <w:t xml:space="preserve">While the responsibility for adjudicating the suitability of individuals is inherent to OPM, with certain exceptions OPM has delegated to the heads of agencies authority for making suitability determinations and taking actions in the case of applicant and appointees within their agency. </w:t>
      </w:r>
      <w:r w:rsidRPr="00C347EE">
        <w:rPr>
          <w:rFonts w:eastAsia="Times New Roman" w:cs="Times New Roman"/>
          <w:spacing w:val="0"/>
        </w:rPr>
        <w:lastRenderedPageBreak/>
        <w:t xml:space="preserve">The delegation is made in accordance with 5 United States Code </w:t>
      </w:r>
      <w:r w:rsidR="008F0F14">
        <w:rPr>
          <w:rFonts w:eastAsia="Times New Roman" w:cs="Times New Roman"/>
          <w:spacing w:val="0"/>
        </w:rPr>
        <w:t xml:space="preserve">section </w:t>
      </w:r>
      <w:r w:rsidRPr="00C347EE">
        <w:rPr>
          <w:rFonts w:eastAsia="Times New Roman" w:cs="Times New Roman"/>
          <w:spacing w:val="0"/>
        </w:rPr>
        <w:t>1104(a)(2), as authorized by Congress, with established standards, including those created here within, that apply to agencies acting under authority delegated by OPM. The specifics of the delegations of authority are covered within 5 C</w:t>
      </w:r>
      <w:r w:rsidR="00BB21FA">
        <w:rPr>
          <w:rFonts w:eastAsia="Times New Roman" w:cs="Times New Roman"/>
          <w:spacing w:val="0"/>
        </w:rPr>
        <w:t>.</w:t>
      </w:r>
      <w:r w:rsidRPr="00C347EE">
        <w:rPr>
          <w:rFonts w:eastAsia="Times New Roman" w:cs="Times New Roman"/>
          <w:spacing w:val="0"/>
        </w:rPr>
        <w:t>F</w:t>
      </w:r>
      <w:r w:rsidR="00BB21FA">
        <w:rPr>
          <w:rFonts w:eastAsia="Times New Roman" w:cs="Times New Roman"/>
          <w:spacing w:val="0"/>
        </w:rPr>
        <w:t>.</w:t>
      </w:r>
      <w:r w:rsidRPr="00C347EE">
        <w:rPr>
          <w:rFonts w:eastAsia="Times New Roman" w:cs="Times New Roman"/>
          <w:spacing w:val="0"/>
        </w:rPr>
        <w:t>R</w:t>
      </w:r>
      <w:r w:rsidR="00BB21FA">
        <w:rPr>
          <w:rFonts w:eastAsia="Times New Roman" w:cs="Times New Roman"/>
          <w:spacing w:val="0"/>
        </w:rPr>
        <w:t>.</w:t>
      </w:r>
      <w:r w:rsidRPr="00C347EE">
        <w:rPr>
          <w:rFonts w:eastAsia="Times New Roman" w:cs="Times New Roman"/>
          <w:spacing w:val="0"/>
        </w:rPr>
        <w:t xml:space="preserve"> </w:t>
      </w:r>
      <w:r w:rsidR="682DE79D" w:rsidRPr="548D0660">
        <w:rPr>
          <w:rFonts w:eastAsia="Times New Roman" w:cs="Times New Roman"/>
          <w:color w:val="000000" w:themeColor="text1"/>
        </w:rPr>
        <w:t xml:space="preserve">§ </w:t>
      </w:r>
      <w:r w:rsidRPr="00C347EE">
        <w:rPr>
          <w:rFonts w:eastAsia="Times New Roman" w:cs="Times New Roman"/>
          <w:spacing w:val="0"/>
        </w:rPr>
        <w:t>731.103 and elsewhere in this Manual. Agency heads may redelegate suitability related authorities to components within their agency. Agency records must show any redelegation and must be made available to OPM, upon request. An agency that does not wish to perform its delegated responsibilities may request OPM to provide assistance to the agency in performing the function. Such assistance may be performed on a reimbursable basis.</w:t>
      </w:r>
    </w:p>
    <w:p w14:paraId="7AF50308" w14:textId="5699269C" w:rsidR="00F20268" w:rsidRPr="00C347EE" w:rsidRDefault="00645F48" w:rsidP="00D32378">
      <w:pPr>
        <w:rPr>
          <w:rFonts w:eastAsia="Times New Roman" w:cs="Times New Roman"/>
          <w:spacing w:val="0"/>
        </w:rPr>
      </w:pPr>
      <w:r w:rsidRPr="00C347EE">
        <w:rPr>
          <w:rFonts w:eastAsia="Times New Roman" w:cs="Times New Roman"/>
          <w:spacing w:val="0"/>
        </w:rPr>
        <w:t xml:space="preserve">OPM’s Suitability Executive Agent Programs office routinely conducts oversight of agency performance of </w:t>
      </w:r>
      <w:r w:rsidR="00F20268" w:rsidRPr="00C347EE">
        <w:rPr>
          <w:rFonts w:eastAsia="Times New Roman" w:cs="Times New Roman"/>
          <w:spacing w:val="0"/>
        </w:rPr>
        <w:t xml:space="preserve">vetting related functions, including those which are </w:t>
      </w:r>
      <w:r w:rsidRPr="00C347EE">
        <w:rPr>
          <w:rFonts w:eastAsia="Times New Roman" w:cs="Times New Roman"/>
          <w:spacing w:val="0"/>
        </w:rPr>
        <w:t xml:space="preserve">delegated </w:t>
      </w:r>
      <w:r w:rsidR="00F20268" w:rsidRPr="00C347EE">
        <w:rPr>
          <w:rFonts w:eastAsia="Times New Roman" w:cs="Times New Roman"/>
          <w:spacing w:val="0"/>
        </w:rPr>
        <w:t>by OPM</w:t>
      </w:r>
      <w:r w:rsidRPr="00C347EE">
        <w:rPr>
          <w:rFonts w:eastAsia="Times New Roman" w:cs="Times New Roman"/>
          <w:spacing w:val="0"/>
        </w:rPr>
        <w:t>. In the case of an OPM finding that an agency is performing contrary to law, rule, regulation, or standards, the agency must take corrective action</w:t>
      </w:r>
      <w:r w:rsidR="005F17EA" w:rsidRPr="00C347EE">
        <w:rPr>
          <w:rFonts w:eastAsia="Times New Roman" w:cs="Times New Roman"/>
          <w:spacing w:val="0"/>
        </w:rPr>
        <w:t>.</w:t>
      </w:r>
    </w:p>
    <w:p w14:paraId="5D7E4E90" w14:textId="0855628F" w:rsidR="003A7E5A" w:rsidRPr="000D11BA" w:rsidRDefault="003A7E5A" w:rsidP="000D11BA">
      <w:pPr>
        <w:spacing w:after="60"/>
        <w:rPr>
          <w:rFonts w:eastAsia="Times New Roman" w:cs="Times New Roman"/>
          <w:spacing w:val="0"/>
        </w:rPr>
      </w:pPr>
      <w:r w:rsidRPr="000D11BA">
        <w:rPr>
          <w:rFonts w:eastAsia="Times New Roman" w:cs="Times New Roman"/>
          <w:spacing w:val="0"/>
        </w:rPr>
        <w:t>The following includes responsibilities of agencies:</w:t>
      </w:r>
    </w:p>
    <w:p w14:paraId="73BA6B2E" w14:textId="1B767DB4" w:rsidR="003A7E5A" w:rsidRPr="000D11BA" w:rsidRDefault="003A7E5A" w:rsidP="00A06D8B">
      <w:pPr>
        <w:pStyle w:val="ListParagraph"/>
        <w:numPr>
          <w:ilvl w:val="0"/>
          <w:numId w:val="11"/>
        </w:numPr>
        <w:spacing w:after="0"/>
      </w:pPr>
      <w:r w:rsidRPr="000D11BA">
        <w:t>Designating the sensitivity and risk level of each position subject</w:t>
      </w:r>
      <w:r w:rsidR="00A40DFA">
        <w:t xml:space="preserve"> to</w:t>
      </w:r>
      <w:r w:rsidRPr="000D11BA">
        <w:t xml:space="preserve"> investigation as required by 5 C</w:t>
      </w:r>
      <w:r w:rsidR="00BB21FA">
        <w:t>.</w:t>
      </w:r>
      <w:r w:rsidRPr="000D11BA">
        <w:t>F</w:t>
      </w:r>
      <w:r w:rsidR="00BB21FA">
        <w:t>.</w:t>
      </w:r>
      <w:r w:rsidRPr="000D11BA">
        <w:t>R</w:t>
      </w:r>
      <w:r w:rsidR="00BB21FA">
        <w:t>.</w:t>
      </w:r>
      <w:r w:rsidRPr="000D11BA">
        <w:t xml:space="preserve"> § 731.106,</w:t>
      </w:r>
    </w:p>
    <w:p w14:paraId="51AEBA2C" w14:textId="4EB2C670" w:rsidR="003A7E5A" w:rsidRPr="000D11BA" w:rsidRDefault="003A7E5A" w:rsidP="00A06D8B">
      <w:pPr>
        <w:pStyle w:val="ListParagraph"/>
        <w:numPr>
          <w:ilvl w:val="0"/>
          <w:numId w:val="11"/>
        </w:numPr>
        <w:spacing w:after="0"/>
      </w:pPr>
      <w:r w:rsidRPr="000D11BA">
        <w:t>Ensuring an effective adjudicative process within the agency,</w:t>
      </w:r>
    </w:p>
    <w:p w14:paraId="37290A91" w14:textId="77777777" w:rsidR="003A7E5A" w:rsidRPr="000D11BA" w:rsidRDefault="003A7E5A" w:rsidP="00A06D8B">
      <w:pPr>
        <w:pStyle w:val="ListParagraph"/>
        <w:numPr>
          <w:ilvl w:val="0"/>
          <w:numId w:val="11"/>
        </w:numPr>
        <w:spacing w:after="0"/>
      </w:pPr>
      <w:r w:rsidRPr="000D11BA">
        <w:t>Initiating timely, commensurate investigations per the position’s risk designation,</w:t>
      </w:r>
    </w:p>
    <w:p w14:paraId="3C873BAF" w14:textId="77777777" w:rsidR="003A7E5A" w:rsidRPr="000D11BA" w:rsidRDefault="003A7E5A" w:rsidP="00A06D8B">
      <w:pPr>
        <w:pStyle w:val="ListParagraph"/>
        <w:numPr>
          <w:ilvl w:val="0"/>
          <w:numId w:val="11"/>
        </w:numPr>
        <w:spacing w:after="0"/>
      </w:pPr>
      <w:r w:rsidRPr="000D11BA">
        <w:t>Enrolling and unenrolling required individuals with compliant Continuous Vetting programs,</w:t>
      </w:r>
    </w:p>
    <w:p w14:paraId="2B098EB4" w14:textId="77777777" w:rsidR="003A7E5A" w:rsidRPr="000D11BA" w:rsidRDefault="003A7E5A" w:rsidP="00A06D8B">
      <w:pPr>
        <w:pStyle w:val="ListParagraph"/>
        <w:numPr>
          <w:ilvl w:val="0"/>
          <w:numId w:val="11"/>
        </w:numPr>
        <w:spacing w:after="0"/>
      </w:pPr>
      <w:r w:rsidRPr="000D11BA">
        <w:t>Carrying out and enforcing any OPM suit</w:t>
      </w:r>
      <w:r w:rsidRPr="000D11BA">
        <w:softHyphen/>
        <w:t>ability actions involving the agency,</w:t>
      </w:r>
    </w:p>
    <w:p w14:paraId="28B458F9" w14:textId="026D3AB1" w:rsidR="003A7E5A" w:rsidRPr="000D11BA" w:rsidRDefault="003A7E5A" w:rsidP="00A06D8B">
      <w:pPr>
        <w:pStyle w:val="ListParagraph"/>
        <w:numPr>
          <w:ilvl w:val="0"/>
          <w:numId w:val="11"/>
        </w:numPr>
        <w:spacing w:after="0"/>
      </w:pPr>
      <w:r w:rsidRPr="000D11BA">
        <w:t xml:space="preserve">Adjudicating suitability, fitness and credentialing as outlined in regulations, Trusted Workforce guidance, this Suitability and Fitness </w:t>
      </w:r>
      <w:r w:rsidR="003C2A8A">
        <w:t>P</w:t>
      </w:r>
      <w:r w:rsidR="00C54225">
        <w:t>rocessing Manual</w:t>
      </w:r>
      <w:r w:rsidRPr="000D11BA">
        <w:t xml:space="preserve"> and any future supplemental guidance,</w:t>
      </w:r>
    </w:p>
    <w:p w14:paraId="29C60A2C" w14:textId="77777777" w:rsidR="003A7E5A" w:rsidRPr="000D11BA" w:rsidRDefault="003A7E5A" w:rsidP="00A06D8B">
      <w:pPr>
        <w:pStyle w:val="ListParagraph"/>
        <w:numPr>
          <w:ilvl w:val="0"/>
          <w:numId w:val="11"/>
        </w:numPr>
        <w:spacing w:after="0"/>
      </w:pPr>
      <w:r w:rsidRPr="000D11BA">
        <w:t>Complying with the suitability and fitness program admin</w:t>
      </w:r>
      <w:r w:rsidRPr="000D11BA">
        <w:softHyphen/>
        <w:t>istration requirements,</w:t>
      </w:r>
    </w:p>
    <w:p w14:paraId="2D80F8ED" w14:textId="77777777" w:rsidR="003A7E5A" w:rsidRPr="000D11BA" w:rsidRDefault="003A7E5A" w:rsidP="00A06D8B">
      <w:pPr>
        <w:pStyle w:val="ListParagraph"/>
        <w:numPr>
          <w:ilvl w:val="0"/>
          <w:numId w:val="11"/>
        </w:numPr>
        <w:spacing w:after="0"/>
      </w:pPr>
      <w:r w:rsidRPr="000D11BA">
        <w:t>Providing appropriate training for designating position risk and adjudicating suitability, and</w:t>
      </w:r>
    </w:p>
    <w:p w14:paraId="1806302D" w14:textId="2E771164" w:rsidR="00531F4A" w:rsidRPr="000D11BA" w:rsidRDefault="00BE4393" w:rsidP="00D32378">
      <w:pPr>
        <w:pStyle w:val="ListParagraph"/>
        <w:numPr>
          <w:ilvl w:val="0"/>
          <w:numId w:val="11"/>
        </w:numPr>
        <w:contextualSpacing w:val="0"/>
      </w:pPr>
      <w:r w:rsidRPr="00536CCF">
        <w:rPr>
          <w:rStyle w:val="cf01"/>
          <w:rFonts w:ascii="Source Serif Pro" w:hAnsi="Source Serif Pro"/>
          <w:sz w:val="22"/>
          <w:szCs w:val="22"/>
        </w:rPr>
        <w:t>Establishing and maintaining an effective suitability</w:t>
      </w:r>
      <w:r w:rsidR="00271650">
        <w:rPr>
          <w:rStyle w:val="cf01"/>
          <w:rFonts w:ascii="Source Serif Pro" w:hAnsi="Source Serif Pro"/>
          <w:sz w:val="22"/>
          <w:szCs w:val="22"/>
        </w:rPr>
        <w:t xml:space="preserve"> and fitness</w:t>
      </w:r>
      <w:r w:rsidRPr="00536CCF">
        <w:rPr>
          <w:rStyle w:val="cf01"/>
          <w:rFonts w:ascii="Source Serif Pro" w:hAnsi="Source Serif Pro"/>
          <w:sz w:val="22"/>
          <w:szCs w:val="22"/>
        </w:rPr>
        <w:t xml:space="preserve"> program to ensure the employment of </w:t>
      </w:r>
      <w:r w:rsidR="00C90FCB">
        <w:rPr>
          <w:rStyle w:val="cf01"/>
          <w:rFonts w:ascii="Source Serif Pro" w:hAnsi="Source Serif Pro"/>
          <w:sz w:val="22"/>
          <w:szCs w:val="22"/>
        </w:rPr>
        <w:t>individuals</w:t>
      </w:r>
      <w:r w:rsidRPr="00536CCF">
        <w:rPr>
          <w:rStyle w:val="cf01"/>
          <w:rFonts w:ascii="Source Serif Pro" w:hAnsi="Source Serif Pro"/>
          <w:sz w:val="22"/>
          <w:szCs w:val="22"/>
        </w:rPr>
        <w:t xml:space="preserve"> will promote the efficiency and protect the integrity of the service.</w:t>
      </w:r>
    </w:p>
    <w:p w14:paraId="5E4AFC62" w14:textId="77777777" w:rsidR="003A7E5A" w:rsidRPr="00727F07" w:rsidRDefault="003A7E5A" w:rsidP="003A7E5A">
      <w:pPr>
        <w:spacing w:after="0"/>
        <w:rPr>
          <w:rFonts w:ascii="Source Sans Pro" w:hAnsi="Source Sans Pro"/>
        </w:rPr>
      </w:pPr>
    </w:p>
    <w:p w14:paraId="7DBB50D9" w14:textId="18802FB3" w:rsidR="00645F48" w:rsidRPr="00F20268" w:rsidRDefault="00F20268" w:rsidP="00F20268">
      <w:pPr>
        <w:spacing w:after="160" w:line="259" w:lineRule="auto"/>
        <w:rPr>
          <w:rFonts w:ascii="Source Sans Pro" w:eastAsia="Times New Roman" w:hAnsi="Source Sans Pro" w:cs="Times New Roman"/>
          <w:spacing w:val="0"/>
        </w:rPr>
      </w:pPr>
      <w:r>
        <w:rPr>
          <w:rFonts w:ascii="Source Sans Pro" w:eastAsia="Times New Roman" w:hAnsi="Source Sans Pro" w:cs="Times New Roman"/>
          <w:spacing w:val="0"/>
        </w:rPr>
        <w:br w:type="page"/>
      </w:r>
    </w:p>
    <w:p w14:paraId="775191DB" w14:textId="62A6288C" w:rsidR="003A7E5A" w:rsidRPr="00727F07" w:rsidRDefault="003A7E5A" w:rsidP="00106417">
      <w:pPr>
        <w:pStyle w:val="H1"/>
        <w:spacing w:after="240"/>
      </w:pPr>
      <w:bookmarkStart w:id="3" w:name="_Toc187052926"/>
      <w:bookmarkStart w:id="4" w:name="_Toc187924124"/>
      <w:r>
        <w:lastRenderedPageBreak/>
        <w:t>Relevant Authorities</w:t>
      </w:r>
      <w:r w:rsidR="007320FC">
        <w:t>: Suitability and Fitness</w:t>
      </w:r>
      <w:bookmarkEnd w:id="3"/>
      <w:bookmarkEnd w:id="4"/>
    </w:p>
    <w:p w14:paraId="653887C3" w14:textId="6FA949D8" w:rsidR="003A7E5A" w:rsidRPr="00C12F9A" w:rsidRDefault="003A7E5A" w:rsidP="00207374">
      <w:r w:rsidRPr="00C12F9A">
        <w:t>There are a number of authorities relevant to personnel vetting,</w:t>
      </w:r>
      <w:r w:rsidR="000B28C2" w:rsidRPr="00C12F9A">
        <w:t xml:space="preserve"> and in particular suitability and fitness,</w:t>
      </w:r>
      <w:r w:rsidRPr="00C12F9A">
        <w:t xml:space="preserve"> including the following:</w:t>
      </w:r>
    </w:p>
    <w:p w14:paraId="5CCD5D85" w14:textId="12B74173" w:rsidR="003A7E5A" w:rsidRPr="00C12F9A" w:rsidRDefault="003A7E5A" w:rsidP="002C17B6">
      <w:r w:rsidRPr="00C12F9A">
        <w:rPr>
          <w:b/>
          <w:bCs/>
        </w:rPr>
        <w:t>Basic Authorities.</w:t>
      </w:r>
      <w:r w:rsidRPr="00C12F9A">
        <w:t xml:space="preserve"> Section 3301 of title 5, United States Code [U.S.C.] authorizes the President to examine all civil service applicants as to fitness. The President delegated this authority for the competitive service to OPM in the Civil Service Rules authorized by </w:t>
      </w:r>
      <w:hyperlink r:id="rId12" w:tooltip="Click here to go to the National Archives website " w:history="1">
        <w:r w:rsidRPr="00C12F9A">
          <w:t>Executive Order</w:t>
        </w:r>
        <w:r w:rsidR="00BB21FA">
          <w:t xml:space="preserve"> (E.O.)</w:t>
        </w:r>
        <w:r w:rsidRPr="00C12F9A">
          <w:t xml:space="preserve"> 10577 (as amended by </w:t>
        </w:r>
        <w:r w:rsidR="00BB21FA">
          <w:t>E.O.</w:t>
        </w:r>
        <w:r w:rsidRPr="00C12F9A">
          <w:t xml:space="preserve"> 12107 and now codified in title 5, Code of Federal Regulations [C</w:t>
        </w:r>
        <w:r w:rsidR="00BB21FA">
          <w:t>.</w:t>
        </w:r>
        <w:r w:rsidRPr="00C12F9A">
          <w:t>F</w:t>
        </w:r>
        <w:r w:rsidR="00BB21FA">
          <w:t>.</w:t>
        </w:r>
        <w:r w:rsidRPr="00C12F9A">
          <w:t>R</w:t>
        </w:r>
        <w:r w:rsidR="00BB21FA">
          <w:t>.</w:t>
        </w:r>
        <w:r w:rsidRPr="00C12F9A">
          <w:t>], part 731 (5 C</w:t>
        </w:r>
        <w:r w:rsidR="00BB21FA">
          <w:t>.</w:t>
        </w:r>
        <w:r w:rsidRPr="00C12F9A">
          <w:t>F</w:t>
        </w:r>
        <w:r w:rsidR="00BB21FA">
          <w:t>.</w:t>
        </w:r>
        <w:r w:rsidRPr="00C12F9A">
          <w:t>R</w:t>
        </w:r>
        <w:r w:rsidR="00BB21FA">
          <w:t>.</w:t>
        </w:r>
        <w:r w:rsidRPr="00C12F9A">
          <w:t xml:space="preserve"> 731))</w:t>
        </w:r>
      </w:hyperlink>
      <w:r w:rsidRPr="00C12F9A">
        <w:t>. Additional authority includes 5 U.S.C.</w:t>
      </w:r>
      <w:r w:rsidR="003F71CB">
        <w:t xml:space="preserve"> </w:t>
      </w:r>
      <w:r w:rsidR="003F71CB" w:rsidRPr="003F71CB">
        <w:t xml:space="preserve">§ </w:t>
      </w:r>
      <w:r w:rsidRPr="00C12F9A">
        <w:t>1103, authorizing OPM to execute, administer and enforce the civil service laws, rules</w:t>
      </w:r>
      <w:r w:rsidR="000B28C2" w:rsidRPr="00C12F9A">
        <w:t>.</w:t>
      </w:r>
      <w:r w:rsidRPr="00C12F9A">
        <w:t xml:space="preserve"> </w:t>
      </w:r>
    </w:p>
    <w:p w14:paraId="4D898DC8" w14:textId="050FCD22" w:rsidR="003A7E5A" w:rsidRPr="00C12F9A" w:rsidRDefault="003A7E5A" w:rsidP="002C17B6">
      <w:r>
        <w:t xml:space="preserve">OPM, as delegated by the President, has the authority to prescribe both qualification and suitability standards, and to conduct both examinations of applicants’ qualifications and investigations of suitability for appointment and continuing employment. </w:t>
      </w:r>
      <w:r w:rsidR="003D5FCD">
        <w:t>(</w:t>
      </w:r>
      <w:r>
        <w:t xml:space="preserve">See 5 U.S.C. </w:t>
      </w:r>
      <w:r w:rsidR="008F0F14" w:rsidRPr="008F0F14">
        <w:t xml:space="preserve">§ </w:t>
      </w:r>
      <w:r>
        <w:t>1104(a)(1)</w:t>
      </w:r>
      <w:r w:rsidR="00C1632B">
        <w:t>)</w:t>
      </w:r>
      <w:r>
        <w:t>. However, the delegation was generally limited to positions in the competitive service. With amendments to the Civil Service Rules made by E.O. 13764 of January 17, 2017, “Amending the Civil Service Rules, Executive Order 13488, and Executive Order 13467 to Modernize the Executive Branch-Wide Governance Structure and Processes for Security Clearances, Suitability and Fitness for Employment, and Credentialing and Related Matters”, OPM was established as the Suitability and Credentialing Executive Agency and its responsibilities expanded to allow for establishing minimum standards of fitness based on character and conduct for appointment to positions in the excepted service of the executive branch. E.O. 13764 set forth requirements for the OPM Director to establish mutually consistent standards and procedures to determine the reliability, trustworthiness, and good character and conduct of those working for the Government in the executive branch regardless of appointment type. Additionally, E.O. 13764 expanded OPM’s responsibilities by making OPM responsible for establishing investigative standards, risk designation procedures, and reciprocity rules for this additional population.</w:t>
      </w:r>
    </w:p>
    <w:p w14:paraId="31112306" w14:textId="4FA1A330" w:rsidR="003A7E5A" w:rsidRPr="00C12F9A" w:rsidRDefault="003A7E5A" w:rsidP="002C17B6">
      <w:r w:rsidRPr="00C12F9A">
        <w:t xml:space="preserve">E.O. 13488, as amended, </w:t>
      </w:r>
      <w:r w:rsidR="00B0416F">
        <w:t>“</w:t>
      </w:r>
      <w:r w:rsidRPr="00C12F9A">
        <w:t>Granting Reciprocity on Excepted Service and Federal Contractor Employee Fitness and Reinvestigating Individuals in Positions of Public Trust</w:t>
      </w:r>
      <w:r w:rsidR="00B0416F">
        <w:t>”</w:t>
      </w:r>
      <w:r w:rsidRPr="00C12F9A">
        <w:t xml:space="preserve">, establishes that contractor employee fitness or </w:t>
      </w:r>
      <w:r w:rsidR="008F0F14">
        <w:t>n</w:t>
      </w:r>
      <w:r w:rsidRPr="00C12F9A">
        <w:t xml:space="preserve">onappropriated fund employee (NAF) fitness is subject to the same position designation requirements and investigative standards, policies, and procedures as fitness determinations for civil service employees as prescribed by OPM under the Civil Service Rules. E.O. 13467, as amended, </w:t>
      </w:r>
      <w:r w:rsidR="00B0416F">
        <w:t>“</w:t>
      </w:r>
      <w:r w:rsidRPr="00B0416F">
        <w:t>Reforming Processes Related to Suitability for Government Employment, Fitness for Contractor Employees, and Eligibility for Classified National Security Information</w:t>
      </w:r>
      <w:r w:rsidR="00B0416F">
        <w:t>”</w:t>
      </w:r>
      <w:r w:rsidRPr="00B0416F">
        <w:t>,</w:t>
      </w:r>
      <w:r w:rsidRPr="00C12F9A">
        <w:t xml:space="preserve"> establishes a requirement for continuous vetting for persons who perform, or who seek to perform, work for the executive branch in competitive service, excepted service, career Senior Executive Service, contractor employee, and </w:t>
      </w:r>
      <w:r w:rsidR="006C0C18">
        <w:t>n</w:t>
      </w:r>
      <w:r w:rsidRPr="00C12F9A">
        <w:t>onappropriated fund positions. Furthermore, E.O. 13467</w:t>
      </w:r>
      <w:r w:rsidR="00B0416F">
        <w:t>, as amended,</w:t>
      </w:r>
      <w:r w:rsidRPr="00C12F9A">
        <w:t xml:space="preserve"> (section 2.1(c)) establishes that “(t)he investigative and adjudicative standards for fitness shall, to the extent practicable, be consistent with the standards for suitability.”</w:t>
      </w:r>
    </w:p>
    <w:p w14:paraId="79797032" w14:textId="3CC71764" w:rsidR="003A7E5A" w:rsidRPr="00C12F9A" w:rsidRDefault="003A7E5A" w:rsidP="002C17B6">
      <w:r w:rsidRPr="00C12F9A">
        <w:t xml:space="preserve">In May 2018, the OPM Director and the Director of National Intelligence, in their respective roles as Suitability and Credentialing Executive Agent and Security Executive Agent, launched an effort consistent with this direction, “Trusted Workforce 2.0,” (see </w:t>
      </w:r>
      <w:hyperlink r:id="rId13" w:history="1">
        <w:r w:rsidRPr="00C12F9A">
          <w:rPr>
            <w:rStyle w:val="Hyperlink"/>
          </w:rPr>
          <w:t>https://www.performance.gov/trusted-</w:t>
        </w:r>
        <w:r w:rsidRPr="00C12F9A">
          <w:rPr>
            <w:rStyle w:val="Hyperlink"/>
          </w:rPr>
          <w:lastRenderedPageBreak/>
          <w:t>workforce/</w:t>
        </w:r>
      </w:hyperlink>
      <w:r w:rsidRPr="00C12F9A">
        <w:t xml:space="preserve">) to transform workforce vetting by employing a modernized and more efficient process for ensuring that only trusted individuals enter and remain in the </w:t>
      </w:r>
      <w:r w:rsidR="009074DC">
        <w:t>F</w:t>
      </w:r>
      <w:r w:rsidRPr="00C12F9A">
        <w:t xml:space="preserve">ederal workforce. Key goals of the initiative are to capitalize on information technology capabilities that allow for the integration of automation and take advantage of a wider spectrum of data, reduce time-intensive manual processing, and promote greater mobility of the workforce by providing vetting processes that enable each individual’s vetting status to be continuously up to date. </w:t>
      </w:r>
    </w:p>
    <w:p w14:paraId="15C50CD4" w14:textId="7A155350" w:rsidR="003A7E5A" w:rsidRPr="00C12F9A" w:rsidRDefault="003A7E5A" w:rsidP="002C17B6">
      <w:r>
        <w:t xml:space="preserve">OPM is authorized by 5 U.S.C. </w:t>
      </w:r>
      <w:r w:rsidR="003F71CB">
        <w:t xml:space="preserve">§§ </w:t>
      </w:r>
      <w:r>
        <w:t>1104 and 1303 and 5 C</w:t>
      </w:r>
      <w:r w:rsidR="00B0416F">
        <w:t>.</w:t>
      </w:r>
      <w:r>
        <w:t>F</w:t>
      </w:r>
      <w:r w:rsidR="00B0416F">
        <w:t>.</w:t>
      </w:r>
      <w:r>
        <w:t>R</w:t>
      </w:r>
      <w:r w:rsidR="00B0416F">
        <w:t>.</w:t>
      </w:r>
      <w:r>
        <w:t xml:space="preserve"> </w:t>
      </w:r>
      <w:r w:rsidR="2CACD6BB" w:rsidRPr="2333F17D">
        <w:rPr>
          <w:rFonts w:eastAsia="Times New Roman" w:cs="Times New Roman"/>
          <w:color w:val="000000" w:themeColor="text1"/>
        </w:rPr>
        <w:t xml:space="preserve">§ </w:t>
      </w:r>
      <w:r>
        <w:t>5.2 to evaluate the effectiveness of agency compliance with suitability program requirements established by OPM. OPM is authorized by 5 U.S.C.</w:t>
      </w:r>
      <w:r w:rsidR="003F71CB">
        <w:t xml:space="preserve"> § </w:t>
      </w:r>
      <w:r>
        <w:t>1103 and 5 C</w:t>
      </w:r>
      <w:r w:rsidR="00B0416F">
        <w:t>.</w:t>
      </w:r>
      <w:r>
        <w:t>F</w:t>
      </w:r>
      <w:r w:rsidR="00B0416F">
        <w:t>.</w:t>
      </w:r>
      <w:r>
        <w:t>R</w:t>
      </w:r>
      <w:r w:rsidR="00B0416F">
        <w:t>.</w:t>
      </w:r>
      <w:r>
        <w:t xml:space="preserve"> </w:t>
      </w:r>
      <w:r w:rsidR="0136A7C4" w:rsidRPr="2333F17D">
        <w:rPr>
          <w:rFonts w:eastAsia="Times New Roman" w:cs="Times New Roman"/>
          <w:color w:val="000000" w:themeColor="text1"/>
        </w:rPr>
        <w:t>§</w:t>
      </w:r>
      <w:r>
        <w:t xml:space="preserve"> 5.3 to take, or require an agency to take, corrective action in any case where OPM has jurisdiction.</w:t>
      </w:r>
    </w:p>
    <w:p w14:paraId="1DA9C6FE" w14:textId="6A338647" w:rsidR="003A7E5A" w:rsidRPr="00C12F9A" w:rsidRDefault="003A7E5A" w:rsidP="009420A9">
      <w:pPr>
        <w:spacing w:after="60"/>
      </w:pPr>
      <w:r w:rsidRPr="00C12F9A">
        <w:rPr>
          <w:b/>
        </w:rPr>
        <w:t>Related Authorities.</w:t>
      </w:r>
      <w:r w:rsidRPr="00C12F9A">
        <w:t xml:space="preserve"> The many authorities concerned with suitability and fitness investigations and adjudications include </w:t>
      </w:r>
      <w:r w:rsidRPr="00C12F9A">
        <w:rPr>
          <w:b/>
          <w:bCs/>
        </w:rPr>
        <w:t xml:space="preserve">5 U.S.C. </w:t>
      </w:r>
      <w:r w:rsidR="00B0416F" w:rsidRPr="003F71CB">
        <w:t xml:space="preserve">§ </w:t>
      </w:r>
      <w:r w:rsidRPr="00C12F9A">
        <w:rPr>
          <w:b/>
          <w:bCs/>
        </w:rPr>
        <w:t>301</w:t>
      </w:r>
      <w:r w:rsidRPr="00C12F9A">
        <w:t xml:space="preserve"> (authorizing heads of departments to prescribe regulations for the conduct of departmental em</w:t>
      </w:r>
      <w:r w:rsidRPr="00C12F9A">
        <w:softHyphen/>
        <w:t xml:space="preserve">ployees) and the following: </w:t>
      </w:r>
    </w:p>
    <w:p w14:paraId="1543D1AC" w14:textId="598BCA42" w:rsidR="003A7E5A" w:rsidRPr="00C12F9A" w:rsidRDefault="003A7E5A" w:rsidP="00A06D8B">
      <w:pPr>
        <w:pStyle w:val="ListParagraph"/>
        <w:numPr>
          <w:ilvl w:val="0"/>
          <w:numId w:val="11"/>
        </w:numPr>
        <w:spacing w:after="0"/>
      </w:pPr>
      <w:r w:rsidRPr="00C12F9A">
        <w:rPr>
          <w:b/>
          <w:bCs/>
        </w:rPr>
        <w:t>5 U.S.C. 2</w:t>
      </w:r>
      <w:r w:rsidR="00B0416F">
        <w:rPr>
          <w:b/>
          <w:bCs/>
        </w:rPr>
        <w:t xml:space="preserve"> </w:t>
      </w:r>
      <w:r w:rsidR="00B0416F" w:rsidRPr="003F71CB">
        <w:t xml:space="preserve">§ </w:t>
      </w:r>
      <w:r w:rsidRPr="00C12F9A">
        <w:rPr>
          <w:b/>
          <w:bCs/>
        </w:rPr>
        <w:t>302(b)(2)(B)</w:t>
      </w:r>
      <w:r w:rsidRPr="00C12F9A">
        <w:t xml:space="preserve"> (requiring recommendations, including evaluations of character, loyal</w:t>
      </w:r>
      <w:r w:rsidRPr="00C12F9A">
        <w:softHyphen/>
        <w:t xml:space="preserve">ty, or suitability, to be made on personal knowledge) </w:t>
      </w:r>
    </w:p>
    <w:p w14:paraId="65CF6D54" w14:textId="62DB2ECD" w:rsidR="003A7E5A" w:rsidRPr="00C12F9A" w:rsidRDefault="003A7E5A" w:rsidP="00A06D8B">
      <w:pPr>
        <w:pStyle w:val="ListParagraph"/>
        <w:numPr>
          <w:ilvl w:val="0"/>
          <w:numId w:val="11"/>
        </w:numPr>
        <w:spacing w:after="0"/>
      </w:pPr>
      <w:r w:rsidRPr="00C12F9A">
        <w:rPr>
          <w:b/>
          <w:bCs/>
        </w:rPr>
        <w:t xml:space="preserve">5 U.S.C. </w:t>
      </w:r>
      <w:r w:rsidR="00B0416F" w:rsidRPr="003F71CB">
        <w:t xml:space="preserve">§ </w:t>
      </w:r>
      <w:r w:rsidRPr="00C12F9A">
        <w:rPr>
          <w:b/>
          <w:bCs/>
        </w:rPr>
        <w:t>2302(b)(10)</w:t>
      </w:r>
      <w:r w:rsidRPr="00C12F9A">
        <w:t xml:space="preserve"> (restricting the basis for unfavorable employment decisions to conduct that adversely affects performance, and con</w:t>
      </w:r>
      <w:r w:rsidRPr="00C12F9A">
        <w:softHyphen/>
        <w:t xml:space="preserve">victions for crimes) </w:t>
      </w:r>
    </w:p>
    <w:p w14:paraId="61A2120B" w14:textId="0D9F4CBC" w:rsidR="003A7E5A" w:rsidRPr="00C12F9A" w:rsidRDefault="003A7E5A" w:rsidP="00A06D8B">
      <w:pPr>
        <w:pStyle w:val="ListParagraph"/>
        <w:numPr>
          <w:ilvl w:val="0"/>
          <w:numId w:val="11"/>
        </w:numPr>
        <w:spacing w:after="0"/>
      </w:pPr>
      <w:r w:rsidRPr="00C12F9A">
        <w:rPr>
          <w:b/>
          <w:bCs/>
        </w:rPr>
        <w:t xml:space="preserve">5 U.S.C. </w:t>
      </w:r>
      <w:r w:rsidR="00B0416F" w:rsidRPr="003F71CB">
        <w:t xml:space="preserve">§ </w:t>
      </w:r>
      <w:r w:rsidRPr="00C12F9A">
        <w:rPr>
          <w:b/>
          <w:bCs/>
        </w:rPr>
        <w:t>3301</w:t>
      </w:r>
      <w:r w:rsidRPr="00C12F9A">
        <w:t xml:space="preserve"> (Presidential authority for standards of entry for the civil service)</w:t>
      </w:r>
    </w:p>
    <w:p w14:paraId="219B2ABB" w14:textId="334F8F1B" w:rsidR="003A7E5A" w:rsidRPr="00C12F9A" w:rsidRDefault="003A7E5A" w:rsidP="00A06D8B">
      <w:pPr>
        <w:pStyle w:val="ListParagraph"/>
        <w:numPr>
          <w:ilvl w:val="0"/>
          <w:numId w:val="11"/>
        </w:numPr>
        <w:spacing w:after="0"/>
      </w:pPr>
      <w:r w:rsidRPr="00C12F9A">
        <w:rPr>
          <w:b/>
          <w:bCs/>
        </w:rPr>
        <w:t xml:space="preserve">5 U.S.C. </w:t>
      </w:r>
      <w:r w:rsidR="00B0416F" w:rsidRPr="003F71CB">
        <w:t xml:space="preserve">§ </w:t>
      </w:r>
      <w:r w:rsidRPr="00C12F9A">
        <w:rPr>
          <w:b/>
          <w:bCs/>
        </w:rPr>
        <w:t>7301</w:t>
      </w:r>
      <w:r w:rsidRPr="00C12F9A">
        <w:t xml:space="preserve"> (Presidential authority for standards of conduct for the civil service) </w:t>
      </w:r>
    </w:p>
    <w:p w14:paraId="58C30FA4" w14:textId="0E31CB3D" w:rsidR="003A7E5A" w:rsidRPr="00C12F9A" w:rsidRDefault="003A7E5A" w:rsidP="00A06D8B">
      <w:pPr>
        <w:pStyle w:val="ListParagraph"/>
        <w:numPr>
          <w:ilvl w:val="0"/>
          <w:numId w:val="11"/>
        </w:numPr>
        <w:spacing w:after="0"/>
      </w:pPr>
      <w:r w:rsidRPr="00C12F9A">
        <w:rPr>
          <w:b/>
          <w:bCs/>
        </w:rPr>
        <w:t xml:space="preserve">5 U.S.C. </w:t>
      </w:r>
      <w:r w:rsidR="00B0416F" w:rsidRPr="003F71CB">
        <w:t xml:space="preserve">§ </w:t>
      </w:r>
      <w:r w:rsidRPr="00C12F9A">
        <w:rPr>
          <w:b/>
          <w:bCs/>
        </w:rPr>
        <w:t>7311</w:t>
      </w:r>
      <w:r w:rsidRPr="00C12F9A">
        <w:t xml:space="preserve"> (loyalty and striking against the Government) </w:t>
      </w:r>
    </w:p>
    <w:p w14:paraId="4E3BD9E6" w14:textId="274EA121" w:rsidR="003A7E5A" w:rsidRPr="00C12F9A" w:rsidRDefault="003A7E5A" w:rsidP="007161A9">
      <w:pPr>
        <w:pStyle w:val="ListParagraph"/>
        <w:numPr>
          <w:ilvl w:val="0"/>
          <w:numId w:val="11"/>
        </w:numPr>
        <w:contextualSpacing w:val="0"/>
      </w:pPr>
      <w:r w:rsidRPr="00C12F9A">
        <w:rPr>
          <w:b/>
          <w:bCs/>
        </w:rPr>
        <w:t xml:space="preserve">5 U.S.C. </w:t>
      </w:r>
      <w:r w:rsidR="00B0416F" w:rsidRPr="003F71CB">
        <w:t xml:space="preserve">§ </w:t>
      </w:r>
      <w:r w:rsidRPr="00C12F9A">
        <w:rPr>
          <w:b/>
          <w:bCs/>
        </w:rPr>
        <w:t>7313</w:t>
      </w:r>
      <w:r w:rsidRPr="00C12F9A">
        <w:t xml:space="preserve"> (on riots and civil disorders) and other laws prescribing periods of ineligibility for government employment for certain offenses</w:t>
      </w:r>
      <w:r w:rsidR="00B17D38" w:rsidRPr="00C12F9A">
        <w:t>.</w:t>
      </w:r>
    </w:p>
    <w:p w14:paraId="2A75AA16" w14:textId="2149B981" w:rsidR="003A7E5A" w:rsidRPr="00BF64C6" w:rsidRDefault="000B28C2" w:rsidP="00BF64C6">
      <w:pPr>
        <w:spacing w:after="160" w:line="259" w:lineRule="auto"/>
        <w:rPr>
          <w:rFonts w:ascii="Source Sans Pro" w:hAnsi="Source Sans Pro"/>
        </w:rPr>
      </w:pPr>
      <w:r w:rsidRPr="00727F07">
        <w:rPr>
          <w:rFonts w:ascii="Source Sans Pro" w:hAnsi="Source Sans Pro"/>
        </w:rPr>
        <w:br w:type="page"/>
      </w:r>
    </w:p>
    <w:p w14:paraId="5D4107E8" w14:textId="63D85330" w:rsidR="00AB3800" w:rsidRPr="00424988" w:rsidRDefault="00AB3800" w:rsidP="004766DA">
      <w:pPr>
        <w:pStyle w:val="H1"/>
        <w:spacing w:after="240"/>
      </w:pPr>
      <w:bookmarkStart w:id="5" w:name="_Toc187052927"/>
      <w:bookmarkStart w:id="6" w:name="_Toc187924125"/>
      <w:r>
        <w:lastRenderedPageBreak/>
        <w:t>Glossary</w:t>
      </w:r>
      <w:bookmarkEnd w:id="5"/>
      <w:bookmarkEnd w:id="6"/>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873"/>
      </w:tblGrid>
      <w:tr w:rsidR="00886241" w:rsidRPr="00AB3800" w14:paraId="1E99B8BF" w14:textId="77777777" w:rsidTr="36A80A07">
        <w:trPr>
          <w:cantSplit/>
        </w:trPr>
        <w:tc>
          <w:tcPr>
            <w:tcW w:w="3420" w:type="dxa"/>
            <w:tcBorders>
              <w:right w:val="single" w:sz="4" w:space="0" w:color="auto"/>
            </w:tcBorders>
          </w:tcPr>
          <w:p w14:paraId="774BD108" w14:textId="77777777" w:rsidR="00AB3800" w:rsidRPr="00782609" w:rsidRDefault="00AB3800" w:rsidP="00AB3800">
            <w:pPr>
              <w:spacing w:after="0" w:line="240" w:lineRule="auto"/>
              <w:rPr>
                <w:rFonts w:eastAsia="Times New Roman" w:cs="Times New Roman"/>
                <w:caps/>
                <w:spacing w:val="0"/>
              </w:rPr>
            </w:pPr>
            <w:r w:rsidRPr="00782609">
              <w:rPr>
                <w:rFonts w:eastAsia="Times New Roman" w:cs="Times New Roman"/>
                <w:caps/>
                <w:spacing w:val="0"/>
              </w:rPr>
              <w:t>ADJUDICATION</w:t>
            </w:r>
          </w:p>
        </w:tc>
        <w:tc>
          <w:tcPr>
            <w:tcW w:w="5873" w:type="dxa"/>
            <w:tcBorders>
              <w:left w:val="single" w:sz="4" w:space="0" w:color="auto"/>
            </w:tcBorders>
          </w:tcPr>
          <w:p w14:paraId="329F26A1" w14:textId="18DE128D" w:rsidR="00AB3800" w:rsidRPr="00782609" w:rsidRDefault="00AB3800" w:rsidP="00AB3800">
            <w:pPr>
              <w:spacing w:after="0" w:line="240" w:lineRule="auto"/>
              <w:rPr>
                <w:rFonts w:eastAsia="Times New Roman" w:cs="Times New Roman"/>
                <w:spacing w:val="0"/>
              </w:rPr>
            </w:pPr>
            <w:r w:rsidRPr="00782609">
              <w:rPr>
                <w:rFonts w:eastAsia="Times New Roman" w:cs="Times New Roman"/>
                <w:color w:val="000000"/>
                <w:spacing w:val="0"/>
                <w:shd w:val="clear" w:color="auto" w:fill="FFFFFF"/>
              </w:rPr>
              <w:t>The evaluation of pertinent data in a background investigation, as well as any other available information that is relevant and reliable, to determine whether a covered individual is suitable for Government employment, eligible for logical and physical access, eligible for access to classified information, eligible to hold a sensitive position; or fit to perform work for or on behalf of the Government as a Federal employee, contractor, or non-appropriated fund employee. (E</w:t>
            </w:r>
            <w:r w:rsidR="00B0416F">
              <w:rPr>
                <w:rFonts w:eastAsia="Times New Roman" w:cs="Times New Roman"/>
                <w:color w:val="000000"/>
                <w:spacing w:val="0"/>
                <w:shd w:val="clear" w:color="auto" w:fill="FFFFFF"/>
              </w:rPr>
              <w:t>.</w:t>
            </w:r>
            <w:r w:rsidRPr="00782609">
              <w:rPr>
                <w:rFonts w:eastAsia="Times New Roman" w:cs="Times New Roman"/>
                <w:color w:val="000000"/>
                <w:spacing w:val="0"/>
                <w:shd w:val="clear" w:color="auto" w:fill="FFFFFF"/>
              </w:rPr>
              <w:t>O</w:t>
            </w:r>
            <w:r w:rsidR="00B0416F">
              <w:rPr>
                <w:rFonts w:eastAsia="Times New Roman" w:cs="Times New Roman"/>
                <w:color w:val="000000"/>
                <w:spacing w:val="0"/>
                <w:shd w:val="clear" w:color="auto" w:fill="FFFFFF"/>
              </w:rPr>
              <w:t>.</w:t>
            </w:r>
            <w:r w:rsidRPr="00782609">
              <w:rPr>
                <w:rFonts w:eastAsia="Times New Roman" w:cs="Times New Roman"/>
                <w:color w:val="000000"/>
                <w:spacing w:val="0"/>
                <w:shd w:val="clear" w:color="auto" w:fill="FFFFFF"/>
              </w:rPr>
              <w:t xml:space="preserve"> 13467, section 1.3(a)) </w:t>
            </w:r>
          </w:p>
        </w:tc>
      </w:tr>
      <w:tr w:rsidR="00886241" w:rsidRPr="00AB3800" w14:paraId="72EA9B10" w14:textId="77777777" w:rsidTr="36A80A07">
        <w:trPr>
          <w:cantSplit/>
        </w:trPr>
        <w:tc>
          <w:tcPr>
            <w:tcW w:w="3420" w:type="dxa"/>
            <w:tcBorders>
              <w:right w:val="single" w:sz="4" w:space="0" w:color="auto"/>
            </w:tcBorders>
          </w:tcPr>
          <w:p w14:paraId="0A512B17" w14:textId="77777777" w:rsidR="00AB3800" w:rsidRPr="00782609" w:rsidRDefault="00AB3800" w:rsidP="00AB3800">
            <w:pPr>
              <w:spacing w:after="0" w:line="240" w:lineRule="auto"/>
              <w:rPr>
                <w:rFonts w:eastAsia="Times New Roman" w:cs="Times New Roman"/>
                <w:caps/>
                <w:spacing w:val="0"/>
              </w:rPr>
            </w:pPr>
            <w:r w:rsidRPr="00782609">
              <w:rPr>
                <w:rFonts w:eastAsia="Times New Roman" w:cs="Times New Roman"/>
                <w:caps/>
                <w:spacing w:val="0"/>
              </w:rPr>
              <w:t>AGENCY</w:t>
            </w:r>
          </w:p>
        </w:tc>
        <w:tc>
          <w:tcPr>
            <w:tcW w:w="5873" w:type="dxa"/>
            <w:tcBorders>
              <w:left w:val="single" w:sz="4" w:space="0" w:color="auto"/>
            </w:tcBorders>
          </w:tcPr>
          <w:p w14:paraId="66EED191" w14:textId="190A92F2" w:rsidR="00AB3800" w:rsidRPr="00782609" w:rsidRDefault="00AB3800" w:rsidP="00AB3800">
            <w:pPr>
              <w:spacing w:after="0" w:line="240" w:lineRule="auto"/>
              <w:rPr>
                <w:rFonts w:eastAsia="Times New Roman" w:cs="Times New Roman"/>
                <w:spacing w:val="0"/>
              </w:rPr>
            </w:pPr>
            <w:r w:rsidRPr="00782609">
              <w:rPr>
                <w:rFonts w:eastAsia="Times New Roman" w:cs="Times New Roman"/>
                <w:color w:val="000000"/>
                <w:spacing w:val="0"/>
                <w:shd w:val="clear" w:color="auto" w:fill="FFFFFF"/>
              </w:rPr>
              <w:t>For purposes of this</w:t>
            </w:r>
            <w:r w:rsidR="001A0CC9">
              <w:rPr>
                <w:rFonts w:eastAsia="Times New Roman" w:cs="Times New Roman"/>
                <w:color w:val="000000"/>
                <w:spacing w:val="0"/>
                <w:shd w:val="clear" w:color="auto" w:fill="FFFFFF"/>
              </w:rPr>
              <w:t xml:space="preserve"> manual</w:t>
            </w:r>
            <w:r w:rsidRPr="00782609">
              <w:rPr>
                <w:rFonts w:eastAsia="Times New Roman" w:cs="Times New Roman"/>
                <w:color w:val="000000"/>
                <w:spacing w:val="0"/>
                <w:shd w:val="clear" w:color="auto" w:fill="FFFFFF"/>
              </w:rPr>
              <w:t>, unless otherwise specified, agency refers to any Department or Agency of the United States Government required to investigate and adjudicate positions whether for credentialing, suitability, fitness, or security purposes. </w:t>
            </w:r>
          </w:p>
        </w:tc>
      </w:tr>
      <w:tr w:rsidR="00886241" w:rsidRPr="00AB3800" w14:paraId="0D33A4B9" w14:textId="77777777" w:rsidTr="36A80A07">
        <w:trPr>
          <w:cantSplit/>
        </w:trPr>
        <w:tc>
          <w:tcPr>
            <w:tcW w:w="3420" w:type="dxa"/>
            <w:tcBorders>
              <w:right w:val="single" w:sz="4" w:space="0" w:color="auto"/>
            </w:tcBorders>
          </w:tcPr>
          <w:p w14:paraId="2D317B13" w14:textId="77777777" w:rsidR="00AB3800" w:rsidRPr="00F50DD4" w:rsidRDefault="00AB3800" w:rsidP="00AB3800">
            <w:pPr>
              <w:spacing w:after="0" w:line="240" w:lineRule="auto"/>
              <w:rPr>
                <w:rFonts w:eastAsia="Times New Roman" w:cs="Times New Roman"/>
                <w:caps/>
                <w:spacing w:val="0"/>
              </w:rPr>
            </w:pPr>
            <w:r w:rsidRPr="00782609">
              <w:rPr>
                <w:rFonts w:eastAsia="Times New Roman" w:cs="Times New Roman"/>
                <w:caps/>
                <w:spacing w:val="0"/>
              </w:rPr>
              <w:t>ANSWER</w:t>
            </w:r>
          </w:p>
        </w:tc>
        <w:tc>
          <w:tcPr>
            <w:tcW w:w="5873" w:type="dxa"/>
            <w:tcBorders>
              <w:left w:val="single" w:sz="4" w:space="0" w:color="auto"/>
            </w:tcBorders>
          </w:tcPr>
          <w:p w14:paraId="5E4B6377" w14:textId="3481F6C7" w:rsidR="00AB3800" w:rsidRPr="00F50DD4" w:rsidRDefault="00AB3800" w:rsidP="00AB3800">
            <w:pPr>
              <w:spacing w:after="0" w:line="240" w:lineRule="auto"/>
              <w:rPr>
                <w:rFonts w:eastAsia="Times New Roman" w:cs="Times New Roman"/>
                <w:spacing w:val="0"/>
              </w:rPr>
            </w:pPr>
            <w:r w:rsidRPr="00F50DD4">
              <w:rPr>
                <w:rFonts w:eastAsia="Times New Roman" w:cs="Times New Roman"/>
                <w:spacing w:val="0"/>
              </w:rPr>
              <w:t xml:space="preserve">A respondent’s </w:t>
            </w:r>
            <w:r w:rsidR="00055BAA">
              <w:rPr>
                <w:rFonts w:eastAsia="Times New Roman" w:cs="Times New Roman"/>
                <w:spacing w:val="0"/>
              </w:rPr>
              <w:t xml:space="preserve">written </w:t>
            </w:r>
            <w:r w:rsidRPr="00F50DD4">
              <w:rPr>
                <w:rFonts w:eastAsia="Times New Roman" w:cs="Times New Roman"/>
                <w:spacing w:val="0"/>
              </w:rPr>
              <w:t>response to charges. Respondents may provide documentation, including affidavits, in support of their answers.</w:t>
            </w:r>
          </w:p>
        </w:tc>
      </w:tr>
      <w:tr w:rsidR="00886241" w:rsidRPr="00AB3800" w14:paraId="6F65E64D" w14:textId="77777777" w:rsidTr="36A80A07">
        <w:trPr>
          <w:cantSplit/>
        </w:trPr>
        <w:tc>
          <w:tcPr>
            <w:tcW w:w="3420" w:type="dxa"/>
            <w:tcBorders>
              <w:right w:val="single" w:sz="4" w:space="0" w:color="auto"/>
            </w:tcBorders>
          </w:tcPr>
          <w:p w14:paraId="1143148B" w14:textId="77777777" w:rsidR="00AB3800" w:rsidRPr="00384AD7" w:rsidRDefault="00AB3800" w:rsidP="00AB3800">
            <w:pPr>
              <w:spacing w:after="0" w:line="240" w:lineRule="auto"/>
              <w:rPr>
                <w:rFonts w:eastAsia="Times New Roman" w:cs="Times New Roman"/>
                <w:caps/>
                <w:spacing w:val="0"/>
              </w:rPr>
            </w:pPr>
            <w:r w:rsidRPr="00384AD7">
              <w:rPr>
                <w:rFonts w:eastAsia="Times New Roman" w:cs="Times New Roman"/>
                <w:caps/>
                <w:spacing w:val="0"/>
              </w:rPr>
              <w:t>APPLICANT</w:t>
            </w:r>
          </w:p>
        </w:tc>
        <w:tc>
          <w:tcPr>
            <w:tcW w:w="5873" w:type="dxa"/>
            <w:tcBorders>
              <w:left w:val="single" w:sz="4" w:space="0" w:color="auto"/>
            </w:tcBorders>
          </w:tcPr>
          <w:p w14:paraId="5577C8F9" w14:textId="03AAB1D6" w:rsidR="00AB3800" w:rsidRPr="00384AD7" w:rsidRDefault="00AB3800" w:rsidP="00AB3800">
            <w:pPr>
              <w:spacing w:after="0" w:line="240" w:lineRule="auto"/>
              <w:rPr>
                <w:rFonts w:eastAsia="Times New Roman" w:cs="Times New Roman"/>
                <w:spacing w:val="0"/>
              </w:rPr>
            </w:pPr>
            <w:r w:rsidRPr="00384AD7">
              <w:rPr>
                <w:rFonts w:eastAsia="Times New Roman" w:cs="Times New Roman"/>
                <w:color w:val="000000"/>
                <w:spacing w:val="0"/>
                <w:shd w:val="clear" w:color="auto" w:fill="FFFFFF"/>
              </w:rPr>
              <w:t>An individual who is being considered or has been considered for employment in the competitive service or career Senior Executive Service</w:t>
            </w:r>
            <w:r w:rsidR="007444C3" w:rsidRPr="00384AD7">
              <w:rPr>
                <w:rFonts w:eastAsia="Times New Roman" w:cs="Times New Roman"/>
                <w:color w:val="000000"/>
                <w:spacing w:val="0"/>
                <w:shd w:val="clear" w:color="auto" w:fill="FFFFFF"/>
              </w:rPr>
              <w:t>.</w:t>
            </w:r>
          </w:p>
        </w:tc>
      </w:tr>
      <w:tr w:rsidR="00886241" w:rsidRPr="00AB3800" w14:paraId="64B43D18" w14:textId="77777777" w:rsidTr="36A80A07">
        <w:trPr>
          <w:cantSplit/>
        </w:trPr>
        <w:tc>
          <w:tcPr>
            <w:tcW w:w="3420" w:type="dxa"/>
            <w:tcBorders>
              <w:right w:val="single" w:sz="4" w:space="0" w:color="auto"/>
            </w:tcBorders>
          </w:tcPr>
          <w:p w14:paraId="3340FCC1" w14:textId="77777777" w:rsidR="00AB3800" w:rsidRPr="00384AD7" w:rsidRDefault="00AB3800" w:rsidP="00AB3800">
            <w:pPr>
              <w:spacing w:after="0" w:line="240" w:lineRule="auto"/>
              <w:rPr>
                <w:rFonts w:eastAsia="Times New Roman" w:cs="Times New Roman"/>
                <w:caps/>
                <w:spacing w:val="0"/>
              </w:rPr>
            </w:pPr>
            <w:r w:rsidRPr="00384AD7">
              <w:rPr>
                <w:rFonts w:eastAsia="Times New Roman" w:cs="Times New Roman"/>
                <w:caps/>
                <w:spacing w:val="0"/>
              </w:rPr>
              <w:t>APPOINTEE</w:t>
            </w:r>
          </w:p>
        </w:tc>
        <w:tc>
          <w:tcPr>
            <w:tcW w:w="5873" w:type="dxa"/>
            <w:tcBorders>
              <w:left w:val="single" w:sz="4" w:space="0" w:color="auto"/>
            </w:tcBorders>
          </w:tcPr>
          <w:p w14:paraId="5F2D376D" w14:textId="46751E82" w:rsidR="00AB3800" w:rsidRPr="00384AD7" w:rsidRDefault="00131ABB" w:rsidP="00AB3800">
            <w:pPr>
              <w:spacing w:after="0" w:line="240" w:lineRule="auto"/>
              <w:rPr>
                <w:rFonts w:eastAsia="Times New Roman" w:cs="Times New Roman"/>
                <w:spacing w:val="0"/>
              </w:rPr>
            </w:pPr>
            <w:r w:rsidRPr="00384AD7">
              <w:rPr>
                <w:rFonts w:eastAsia="Times New Roman" w:cs="Times New Roman"/>
                <w:color w:val="000000"/>
                <w:spacing w:val="0"/>
                <w:shd w:val="clear" w:color="auto" w:fill="FFFFFF"/>
              </w:rPr>
              <w:t>A</w:t>
            </w:r>
            <w:r w:rsidR="00AB3800" w:rsidRPr="00384AD7">
              <w:rPr>
                <w:rFonts w:eastAsia="Times New Roman" w:cs="Times New Roman"/>
                <w:color w:val="000000"/>
                <w:spacing w:val="0"/>
                <w:shd w:val="clear" w:color="auto" w:fill="FFFFFF"/>
              </w:rPr>
              <w:t>n individual who has entered on duty and is in the first year of employment in a competitive service or career Senior Executive Service position when it is employment subject to investigation. When the individual is serving a probationary or trial period, the individual’s status as an appointee will extend through the end of the initial probationary/trial period, if longer than one year. </w:t>
            </w:r>
          </w:p>
        </w:tc>
      </w:tr>
      <w:tr w:rsidR="00886241" w:rsidRPr="00AB3800" w14:paraId="222BD5B2" w14:textId="77777777" w:rsidTr="36A80A07">
        <w:trPr>
          <w:cantSplit/>
        </w:trPr>
        <w:tc>
          <w:tcPr>
            <w:tcW w:w="3420" w:type="dxa"/>
            <w:tcBorders>
              <w:right w:val="single" w:sz="4" w:space="0" w:color="auto"/>
            </w:tcBorders>
          </w:tcPr>
          <w:p w14:paraId="48C4FB84" w14:textId="77777777" w:rsidR="00AB3800" w:rsidRPr="00384AD7" w:rsidDel="0035392C" w:rsidRDefault="00AB3800" w:rsidP="00AB3800">
            <w:pPr>
              <w:spacing w:after="0" w:line="240" w:lineRule="auto"/>
              <w:rPr>
                <w:rFonts w:eastAsia="Times New Roman" w:cs="Times New Roman"/>
                <w:caps/>
                <w:spacing w:val="0"/>
              </w:rPr>
            </w:pPr>
            <w:r w:rsidRPr="00384AD7">
              <w:rPr>
                <w:rFonts w:eastAsia="Times New Roman" w:cs="Times New Roman"/>
                <w:caps/>
                <w:spacing w:val="0"/>
              </w:rPr>
              <w:t>CORE DUTY</w:t>
            </w:r>
          </w:p>
        </w:tc>
        <w:tc>
          <w:tcPr>
            <w:tcW w:w="5873" w:type="dxa"/>
            <w:tcBorders>
              <w:left w:val="single" w:sz="4" w:space="0" w:color="auto"/>
            </w:tcBorders>
          </w:tcPr>
          <w:p w14:paraId="47F1CBFF" w14:textId="16202ACF" w:rsidR="00AB3800" w:rsidRPr="00384AD7" w:rsidDel="0035392C" w:rsidRDefault="00AB3800" w:rsidP="00AB3800">
            <w:pPr>
              <w:spacing w:after="0" w:line="240" w:lineRule="auto"/>
              <w:rPr>
                <w:rFonts w:eastAsia="Times New Roman" w:cs="Times New Roman"/>
                <w:spacing w:val="0"/>
              </w:rPr>
            </w:pPr>
            <w:r w:rsidRPr="00384AD7">
              <w:rPr>
                <w:rFonts w:eastAsia="Times New Roman" w:cs="Times New Roman"/>
                <w:color w:val="000000"/>
                <w:spacing w:val="0"/>
              </w:rPr>
              <w:t>Means a continuing responsibility that is of particular importance to the relevant covered position or the achievement of an agency’s mission. </w:t>
            </w:r>
          </w:p>
        </w:tc>
      </w:tr>
      <w:tr w:rsidR="00886241" w:rsidRPr="00AB3800" w14:paraId="791AA19C" w14:textId="77777777" w:rsidTr="36A80A07">
        <w:trPr>
          <w:cantSplit/>
        </w:trPr>
        <w:tc>
          <w:tcPr>
            <w:tcW w:w="3420" w:type="dxa"/>
            <w:tcBorders>
              <w:right w:val="single" w:sz="4" w:space="0" w:color="auto"/>
            </w:tcBorders>
          </w:tcPr>
          <w:p w14:paraId="4CF0393C" w14:textId="77777777" w:rsidR="00AB3800" w:rsidRPr="00384AD7" w:rsidRDefault="00AB3800" w:rsidP="00AB3800">
            <w:pPr>
              <w:spacing w:after="0" w:line="240" w:lineRule="auto"/>
              <w:rPr>
                <w:rFonts w:eastAsia="Times New Roman" w:cs="Times New Roman"/>
                <w:caps/>
                <w:spacing w:val="0"/>
              </w:rPr>
            </w:pPr>
            <w:r w:rsidRPr="00384AD7">
              <w:rPr>
                <w:rFonts w:eastAsia="Times New Roman" w:cs="Times New Roman"/>
                <w:caps/>
                <w:color w:val="000000"/>
                <w:spacing w:val="0"/>
                <w:shd w:val="clear" w:color="auto" w:fill="FFFFFF"/>
              </w:rPr>
              <w:t>Competitive service or career Senior Executive Service</w:t>
            </w:r>
          </w:p>
        </w:tc>
        <w:tc>
          <w:tcPr>
            <w:tcW w:w="5873" w:type="dxa"/>
            <w:tcBorders>
              <w:left w:val="single" w:sz="4" w:space="0" w:color="auto"/>
              <w:bottom w:val="single" w:sz="4" w:space="0" w:color="auto"/>
            </w:tcBorders>
          </w:tcPr>
          <w:p w14:paraId="36D088BE" w14:textId="1D9E8476" w:rsidR="00AB3800" w:rsidRPr="00384AD7" w:rsidRDefault="00AB3800" w:rsidP="00AB3800">
            <w:pPr>
              <w:spacing w:after="0" w:line="240" w:lineRule="auto"/>
              <w:rPr>
                <w:rFonts w:eastAsia="Times New Roman" w:cs="Times New Roman"/>
                <w:spacing w:val="0"/>
              </w:rPr>
            </w:pPr>
            <w:r w:rsidRPr="00384AD7">
              <w:rPr>
                <w:rFonts w:eastAsia="Times New Roman" w:cs="Times New Roman"/>
                <w:color w:val="000000"/>
                <w:spacing w:val="0"/>
              </w:rPr>
              <w:t xml:space="preserve">For the purposes of </w:t>
            </w:r>
            <w:r w:rsidR="00B0416F">
              <w:rPr>
                <w:rFonts w:eastAsia="Times New Roman" w:cs="Times New Roman"/>
                <w:color w:val="000000"/>
                <w:spacing w:val="0"/>
              </w:rPr>
              <w:t>5 C.F.R. p</w:t>
            </w:r>
            <w:r w:rsidRPr="00384AD7">
              <w:rPr>
                <w:rFonts w:eastAsia="Times New Roman" w:cs="Times New Roman"/>
                <w:color w:val="000000"/>
                <w:spacing w:val="0"/>
              </w:rPr>
              <w:t>art</w:t>
            </w:r>
            <w:r w:rsidR="00131ABB" w:rsidRPr="00384AD7">
              <w:rPr>
                <w:rFonts w:eastAsia="Times New Roman" w:cs="Times New Roman"/>
                <w:color w:val="000000"/>
                <w:spacing w:val="0"/>
              </w:rPr>
              <w:t xml:space="preserve"> 731</w:t>
            </w:r>
            <w:r w:rsidRPr="00384AD7">
              <w:rPr>
                <w:rFonts w:eastAsia="Times New Roman" w:cs="Times New Roman"/>
                <w:color w:val="000000"/>
                <w:spacing w:val="0"/>
              </w:rPr>
              <w:t>, “Competitive service or career Senior Executive Service” refers to a position in the competitive service, a position in the excepted service where the incumbent can be noncompetitively converted to the competitive service, and a career appointment to a position in the Senior Executive Service. </w:t>
            </w:r>
          </w:p>
        </w:tc>
      </w:tr>
      <w:tr w:rsidR="00E764BE" w:rsidRPr="00AB3800" w14:paraId="1E63D575" w14:textId="77777777" w:rsidTr="36A80A07">
        <w:trPr>
          <w:cantSplit/>
        </w:trPr>
        <w:tc>
          <w:tcPr>
            <w:tcW w:w="3420" w:type="dxa"/>
            <w:tcBorders>
              <w:right w:val="single" w:sz="4" w:space="0" w:color="auto"/>
            </w:tcBorders>
          </w:tcPr>
          <w:p w14:paraId="0DB6CD8B" w14:textId="77777777" w:rsidR="00AB3800" w:rsidRPr="00384AD7" w:rsidRDefault="00AB3800" w:rsidP="00AB3800">
            <w:pPr>
              <w:spacing w:after="0" w:line="240" w:lineRule="auto"/>
              <w:rPr>
                <w:rFonts w:eastAsia="Times New Roman" w:cs="Times New Roman"/>
                <w:caps/>
                <w:color w:val="000000"/>
                <w:spacing w:val="0"/>
                <w:shd w:val="clear" w:color="auto" w:fill="FFFFFF"/>
              </w:rPr>
            </w:pPr>
            <w:r w:rsidRPr="00384AD7">
              <w:rPr>
                <w:rFonts w:eastAsia="Times New Roman" w:cs="Times New Roman"/>
                <w:caps/>
                <w:color w:val="000000"/>
                <w:spacing w:val="0"/>
                <w:shd w:val="clear" w:color="auto" w:fill="FFFFFF"/>
              </w:rPr>
              <w:lastRenderedPageBreak/>
              <w:t>Continuous vetting</w:t>
            </w:r>
          </w:p>
        </w:tc>
        <w:tc>
          <w:tcPr>
            <w:tcW w:w="5873" w:type="dxa"/>
            <w:tcBorders>
              <w:left w:val="single" w:sz="4" w:space="0" w:color="auto"/>
            </w:tcBorders>
          </w:tcPr>
          <w:p w14:paraId="4CAE1BEA" w14:textId="6C03A396" w:rsidR="00AB3800" w:rsidRPr="00E853D1" w:rsidRDefault="009074DC" w:rsidP="00AB3800">
            <w:pPr>
              <w:spacing w:after="0" w:line="240" w:lineRule="auto"/>
              <w:rPr>
                <w:rFonts w:eastAsia="Times New Roman" w:cs="Times New Roman"/>
                <w:color w:val="000000"/>
                <w:spacing w:val="0"/>
              </w:rPr>
            </w:pPr>
            <w:r>
              <w:rPr>
                <w:rFonts w:eastAsia="Times New Roman" w:cs="Times New Roman"/>
                <w:color w:val="000000"/>
                <w:spacing w:val="0"/>
              </w:rPr>
              <w:t>A process that involves regularly reviewing a vetted individual</w:t>
            </w:r>
            <w:r w:rsidR="00055BAA">
              <w:rPr>
                <w:rFonts w:eastAsia="Times New Roman" w:cs="Times New Roman"/>
                <w:color w:val="000000"/>
                <w:spacing w:val="0"/>
              </w:rPr>
              <w:t>’</w:t>
            </w:r>
            <w:r>
              <w:rPr>
                <w:rFonts w:eastAsia="Times New Roman" w:cs="Times New Roman"/>
                <w:color w:val="000000"/>
                <w:spacing w:val="0"/>
              </w:rPr>
              <w:t>s background to ensure they continue to meet suitability, fitness, and/or other eligibility requirements.  I</w:t>
            </w:r>
            <w:r w:rsidR="00AB3800" w:rsidRPr="00384AD7">
              <w:rPr>
                <w:rFonts w:eastAsia="Times New Roman" w:cs="Times New Roman"/>
                <w:color w:val="000000"/>
                <w:spacing w:val="0"/>
              </w:rPr>
              <w:t>nforms active and ongoing consideration of potential risk throughout an individual’s affiliation and whether the individual continues to demonstrate the characteristics of a trusted person. Continuous vetting promotes timely detection of behaviors of concern allowing agencies to implement remediation activities to address potential issues or assist the individual before concerns escalate. (See Federal Personnel Vetting Guidelines and Federal Personnel Vetting Investigative Standards and implementing guidance.)</w:t>
            </w:r>
          </w:p>
        </w:tc>
      </w:tr>
      <w:tr w:rsidR="00886241" w:rsidRPr="00AB3800" w14:paraId="1CF45598" w14:textId="77777777" w:rsidTr="36A80A07">
        <w:trPr>
          <w:cantSplit/>
        </w:trPr>
        <w:tc>
          <w:tcPr>
            <w:tcW w:w="3420" w:type="dxa"/>
            <w:tcBorders>
              <w:right w:val="single" w:sz="4" w:space="0" w:color="auto"/>
            </w:tcBorders>
          </w:tcPr>
          <w:p w14:paraId="5515142C" w14:textId="77777777" w:rsidR="00AB3800" w:rsidRPr="00A249B6" w:rsidRDefault="00AB3800" w:rsidP="00AB3800">
            <w:pPr>
              <w:spacing w:after="0" w:line="240" w:lineRule="auto"/>
              <w:rPr>
                <w:rFonts w:eastAsia="Times New Roman" w:cs="Times New Roman"/>
                <w:caps/>
                <w:spacing w:val="0"/>
              </w:rPr>
            </w:pPr>
            <w:r w:rsidRPr="00A249B6">
              <w:rPr>
                <w:rFonts w:eastAsia="Times New Roman" w:cs="Times New Roman"/>
                <w:caps/>
                <w:spacing w:val="0"/>
              </w:rPr>
              <w:t>DAYS</w:t>
            </w:r>
          </w:p>
        </w:tc>
        <w:tc>
          <w:tcPr>
            <w:tcW w:w="5873" w:type="dxa"/>
            <w:tcBorders>
              <w:left w:val="single" w:sz="4" w:space="0" w:color="auto"/>
            </w:tcBorders>
          </w:tcPr>
          <w:p w14:paraId="24B3B35A" w14:textId="77777777" w:rsidR="00AB3800" w:rsidRPr="00A249B6" w:rsidRDefault="00AB3800" w:rsidP="00AB3800">
            <w:pPr>
              <w:spacing w:after="0" w:line="240" w:lineRule="auto"/>
              <w:rPr>
                <w:rFonts w:eastAsia="Times New Roman" w:cs="Times New Roman"/>
                <w:spacing w:val="0"/>
              </w:rPr>
            </w:pPr>
            <w:r w:rsidRPr="00A249B6">
              <w:rPr>
                <w:rFonts w:eastAsia="Times New Roman" w:cs="Times New Roman"/>
                <w:spacing w:val="0"/>
              </w:rPr>
              <w:t>Calendar days.</w:t>
            </w:r>
          </w:p>
        </w:tc>
      </w:tr>
      <w:tr w:rsidR="00886241" w:rsidRPr="00AB3800" w14:paraId="7657E1C8" w14:textId="77777777" w:rsidTr="36A80A07">
        <w:trPr>
          <w:cantSplit/>
        </w:trPr>
        <w:tc>
          <w:tcPr>
            <w:tcW w:w="3420" w:type="dxa"/>
            <w:tcBorders>
              <w:right w:val="single" w:sz="4" w:space="0" w:color="auto"/>
            </w:tcBorders>
          </w:tcPr>
          <w:p w14:paraId="64847026" w14:textId="77777777" w:rsidR="00AB3800" w:rsidRPr="00A249B6" w:rsidRDefault="00AB3800" w:rsidP="00AB3800">
            <w:pPr>
              <w:spacing w:after="0" w:line="240" w:lineRule="auto"/>
              <w:rPr>
                <w:rFonts w:eastAsia="Times New Roman" w:cs="Times New Roman"/>
                <w:caps/>
                <w:spacing w:val="0"/>
              </w:rPr>
            </w:pPr>
            <w:r w:rsidRPr="00A249B6">
              <w:rPr>
                <w:rFonts w:eastAsia="Times New Roman" w:cs="Times New Roman"/>
                <w:caps/>
                <w:spacing w:val="0"/>
              </w:rPr>
              <w:t>DEBARMENT</w:t>
            </w:r>
          </w:p>
        </w:tc>
        <w:tc>
          <w:tcPr>
            <w:tcW w:w="5873" w:type="dxa"/>
            <w:tcBorders>
              <w:left w:val="single" w:sz="4" w:space="0" w:color="auto"/>
            </w:tcBorders>
          </w:tcPr>
          <w:p w14:paraId="47CF4A08" w14:textId="1B35E7BA" w:rsidR="00AB3800" w:rsidRPr="00A249B6" w:rsidRDefault="00AB3800" w:rsidP="00AB3800">
            <w:pPr>
              <w:spacing w:after="0" w:line="240" w:lineRule="auto"/>
              <w:rPr>
                <w:rFonts w:eastAsia="Times New Roman" w:cs="Times New Roman"/>
                <w:spacing w:val="0"/>
              </w:rPr>
            </w:pPr>
            <w:r w:rsidRPr="00A249B6">
              <w:rPr>
                <w:rFonts w:eastAsia="Times New Roman" w:cs="Times New Roman"/>
                <w:spacing w:val="0"/>
              </w:rPr>
              <w:t xml:space="preserve">A prohibition from taking a competitive service examination or from being hired (or retained in) a </w:t>
            </w:r>
            <w:r w:rsidR="00442E23">
              <w:rPr>
                <w:rFonts w:eastAsia="Times New Roman" w:cs="Times New Roman"/>
                <w:spacing w:val="0"/>
              </w:rPr>
              <w:t>competitive service or career S</w:t>
            </w:r>
            <w:r w:rsidR="00DA614C">
              <w:rPr>
                <w:rFonts w:eastAsia="Times New Roman" w:cs="Times New Roman"/>
                <w:spacing w:val="0"/>
              </w:rPr>
              <w:t xml:space="preserve">enior Executive Service </w:t>
            </w:r>
            <w:r w:rsidRPr="00A249B6">
              <w:rPr>
                <w:rFonts w:eastAsia="Times New Roman" w:cs="Times New Roman"/>
                <w:spacing w:val="0"/>
              </w:rPr>
              <w:t>position for a specific time period.</w:t>
            </w:r>
          </w:p>
        </w:tc>
      </w:tr>
      <w:tr w:rsidR="00886241" w:rsidRPr="00AB3800" w14:paraId="5947CA1F" w14:textId="77777777" w:rsidTr="36A80A07">
        <w:trPr>
          <w:cantSplit/>
        </w:trPr>
        <w:tc>
          <w:tcPr>
            <w:tcW w:w="3420" w:type="dxa"/>
            <w:tcBorders>
              <w:right w:val="single" w:sz="4" w:space="0" w:color="auto"/>
            </w:tcBorders>
          </w:tcPr>
          <w:p w14:paraId="247D9D6F" w14:textId="77777777" w:rsidR="00AB3800" w:rsidRPr="00C00B7C" w:rsidRDefault="00AB3800" w:rsidP="00AB3800">
            <w:pPr>
              <w:spacing w:after="0" w:line="240" w:lineRule="auto"/>
              <w:rPr>
                <w:rFonts w:eastAsia="Times New Roman" w:cs="Times New Roman"/>
                <w:caps/>
                <w:spacing w:val="0"/>
              </w:rPr>
            </w:pPr>
            <w:r w:rsidRPr="00A249B6">
              <w:rPr>
                <w:rFonts w:eastAsia="Times New Roman" w:cs="Times New Roman"/>
                <w:caps/>
                <w:spacing w:val="0"/>
              </w:rPr>
              <w:t>DELEGATION (of suitability adjudication</w:t>
            </w:r>
            <w:r w:rsidRPr="00C00B7C">
              <w:rPr>
                <w:rFonts w:eastAsia="Times New Roman" w:cs="Times New Roman"/>
                <w:caps/>
                <w:spacing w:val="0"/>
              </w:rPr>
              <w:t>)</w:t>
            </w:r>
          </w:p>
        </w:tc>
        <w:tc>
          <w:tcPr>
            <w:tcW w:w="5873" w:type="dxa"/>
            <w:tcBorders>
              <w:left w:val="single" w:sz="4" w:space="0" w:color="auto"/>
            </w:tcBorders>
          </w:tcPr>
          <w:p w14:paraId="020D74D5" w14:textId="60E80EC3" w:rsidR="00AB3800" w:rsidRPr="00C00B7C" w:rsidRDefault="00AB3800" w:rsidP="00AB3800">
            <w:pPr>
              <w:spacing w:after="0" w:line="240" w:lineRule="auto"/>
              <w:rPr>
                <w:rFonts w:eastAsia="Times New Roman" w:cs="Times New Roman"/>
                <w:spacing w:val="0"/>
              </w:rPr>
            </w:pPr>
            <w:r w:rsidRPr="00C00B7C">
              <w:rPr>
                <w:rFonts w:eastAsia="Times New Roman" w:cs="Times New Roman"/>
                <w:spacing w:val="0"/>
              </w:rPr>
              <w:t xml:space="preserve">The Office of Personnel Management’s authorization for agency heads to adjudicate suitability cases involving applicants for, and appointees to </w:t>
            </w:r>
            <w:r w:rsidR="00C20C74">
              <w:rPr>
                <w:rFonts w:eastAsia="Times New Roman" w:cs="Times New Roman"/>
                <w:spacing w:val="0"/>
              </w:rPr>
              <w:t>competitive service and career S</w:t>
            </w:r>
            <w:r w:rsidR="00DA614C">
              <w:rPr>
                <w:rFonts w:eastAsia="Times New Roman" w:cs="Times New Roman"/>
                <w:spacing w:val="0"/>
              </w:rPr>
              <w:t>enior Executive Service</w:t>
            </w:r>
            <w:r w:rsidRPr="00C00B7C">
              <w:rPr>
                <w:rFonts w:eastAsia="Times New Roman" w:cs="Times New Roman"/>
                <w:spacing w:val="0"/>
              </w:rPr>
              <w:t xml:space="preserve"> positions within their agency unless jurisdiction has been reserved by OPM.</w:t>
            </w:r>
          </w:p>
        </w:tc>
      </w:tr>
      <w:tr w:rsidR="00886241" w:rsidRPr="00AB3800" w14:paraId="46ACFDD8" w14:textId="77777777" w:rsidTr="36A80A07">
        <w:trPr>
          <w:cantSplit/>
        </w:trPr>
        <w:tc>
          <w:tcPr>
            <w:tcW w:w="3420" w:type="dxa"/>
            <w:tcBorders>
              <w:right w:val="single" w:sz="4" w:space="0" w:color="auto"/>
            </w:tcBorders>
          </w:tcPr>
          <w:p w14:paraId="3221F0B0" w14:textId="77777777" w:rsidR="00AB3800" w:rsidRPr="00C00B7C" w:rsidRDefault="00AB3800" w:rsidP="00AB3800">
            <w:pPr>
              <w:spacing w:after="0" w:line="240" w:lineRule="auto"/>
              <w:rPr>
                <w:rFonts w:eastAsia="Times New Roman" w:cs="Times New Roman"/>
                <w:caps/>
                <w:spacing w:val="0"/>
              </w:rPr>
            </w:pPr>
            <w:r w:rsidRPr="00C00B7C">
              <w:rPr>
                <w:rFonts w:eastAsia="Times New Roman" w:cs="Times New Roman"/>
                <w:caps/>
                <w:spacing w:val="0"/>
              </w:rPr>
              <w:t>DEROGATORY INFORMATION</w:t>
            </w:r>
          </w:p>
        </w:tc>
        <w:tc>
          <w:tcPr>
            <w:tcW w:w="5873" w:type="dxa"/>
            <w:tcBorders>
              <w:left w:val="single" w:sz="4" w:space="0" w:color="auto"/>
            </w:tcBorders>
          </w:tcPr>
          <w:p w14:paraId="5B1B7038" w14:textId="77777777" w:rsidR="00AB3800" w:rsidRPr="00C00B7C" w:rsidRDefault="00AB3800" w:rsidP="00AB3800">
            <w:pPr>
              <w:spacing w:after="0" w:line="240" w:lineRule="auto"/>
              <w:rPr>
                <w:rFonts w:eastAsia="Times New Roman" w:cs="Times New Roman"/>
                <w:spacing w:val="0"/>
              </w:rPr>
            </w:pPr>
            <w:r w:rsidRPr="00C00B7C">
              <w:rPr>
                <w:rFonts w:eastAsia="Times New Roman" w:cs="Times New Roman"/>
                <w:spacing w:val="0"/>
              </w:rPr>
              <w:t>Information which potentially justifies unfavorable adjudication; such information may prompt a request for additional investigation or clarification for resolution of an issue.</w:t>
            </w:r>
          </w:p>
        </w:tc>
      </w:tr>
      <w:tr w:rsidR="00886241" w:rsidRPr="00AB3800" w14:paraId="399DE142" w14:textId="77777777" w:rsidTr="36A80A07">
        <w:trPr>
          <w:cantSplit/>
        </w:trPr>
        <w:tc>
          <w:tcPr>
            <w:tcW w:w="3420" w:type="dxa"/>
            <w:tcBorders>
              <w:right w:val="single" w:sz="4" w:space="0" w:color="auto"/>
            </w:tcBorders>
          </w:tcPr>
          <w:p w14:paraId="1BA05CFD" w14:textId="77777777" w:rsidR="00AB3800" w:rsidRPr="00C00B7C" w:rsidRDefault="00AB3800" w:rsidP="00AB3800">
            <w:pPr>
              <w:spacing w:after="0" w:line="240" w:lineRule="auto"/>
              <w:rPr>
                <w:rFonts w:eastAsia="Times New Roman" w:cs="Times New Roman"/>
                <w:caps/>
                <w:spacing w:val="0"/>
              </w:rPr>
            </w:pPr>
            <w:r w:rsidRPr="00C00B7C">
              <w:rPr>
                <w:rFonts w:eastAsia="Times New Roman" w:cs="Times New Roman"/>
                <w:caps/>
                <w:spacing w:val="0"/>
              </w:rPr>
              <w:t>EMPLOYEE</w:t>
            </w:r>
          </w:p>
        </w:tc>
        <w:tc>
          <w:tcPr>
            <w:tcW w:w="5873" w:type="dxa"/>
            <w:tcBorders>
              <w:left w:val="single" w:sz="4" w:space="0" w:color="auto"/>
            </w:tcBorders>
          </w:tcPr>
          <w:p w14:paraId="721C0FFA" w14:textId="418B2CCD" w:rsidR="00AB3800" w:rsidRPr="00C00B7C" w:rsidRDefault="00131ABB" w:rsidP="00AB3800">
            <w:pPr>
              <w:spacing w:after="0" w:line="240" w:lineRule="auto"/>
              <w:rPr>
                <w:rFonts w:eastAsia="Times New Roman" w:cs="Times New Roman"/>
                <w:spacing w:val="0"/>
              </w:rPr>
            </w:pPr>
            <w:r w:rsidRPr="00C00B7C">
              <w:rPr>
                <w:rFonts w:eastAsia="Times New Roman" w:cs="Times New Roman"/>
                <w:color w:val="000000"/>
                <w:spacing w:val="0"/>
              </w:rPr>
              <w:t xml:space="preserve">An </w:t>
            </w:r>
            <w:r w:rsidR="00AB3800" w:rsidRPr="00C00B7C">
              <w:rPr>
                <w:rFonts w:eastAsia="Times New Roman" w:cs="Times New Roman"/>
                <w:color w:val="000000"/>
                <w:spacing w:val="0"/>
              </w:rPr>
              <w:t>individual who has completed the first year of an appointment in the competitive service or career Senior Executive Service when it is employment subject to investigation and is no longer serving the initial probation or trial period, if applicable. In the case of an appointee whose initial probation or trial period is for more than one year, the individual will be considered an employee at the completion of the initial probation or trial period. </w:t>
            </w:r>
          </w:p>
        </w:tc>
      </w:tr>
      <w:tr w:rsidR="00886241" w:rsidRPr="00AB3800" w14:paraId="5AB5A9EC" w14:textId="77777777" w:rsidTr="36A80A07">
        <w:trPr>
          <w:cantSplit/>
        </w:trPr>
        <w:tc>
          <w:tcPr>
            <w:tcW w:w="3420" w:type="dxa"/>
            <w:tcBorders>
              <w:right w:val="single" w:sz="4" w:space="0" w:color="auto"/>
            </w:tcBorders>
          </w:tcPr>
          <w:p w14:paraId="78D76921" w14:textId="77777777" w:rsidR="00AB3800" w:rsidRPr="00C00B7C" w:rsidRDefault="00AB3800" w:rsidP="00AB3800">
            <w:pPr>
              <w:spacing w:after="0" w:line="240" w:lineRule="auto"/>
              <w:rPr>
                <w:rFonts w:eastAsia="Times New Roman" w:cs="Times New Roman"/>
                <w:caps/>
                <w:spacing w:val="0"/>
              </w:rPr>
            </w:pPr>
            <w:r w:rsidRPr="00C00B7C">
              <w:rPr>
                <w:rFonts w:eastAsia="Times New Roman" w:cs="Times New Roman"/>
                <w:caps/>
                <w:color w:val="000000"/>
                <w:spacing w:val="0"/>
                <w:shd w:val="clear" w:color="auto" w:fill="FFFFFF"/>
              </w:rPr>
              <w:t>Employment subject to investigation</w:t>
            </w:r>
          </w:p>
        </w:tc>
        <w:tc>
          <w:tcPr>
            <w:tcW w:w="5873" w:type="dxa"/>
            <w:tcBorders>
              <w:left w:val="single" w:sz="4" w:space="0" w:color="auto"/>
            </w:tcBorders>
          </w:tcPr>
          <w:p w14:paraId="7AE9141E" w14:textId="152AC206" w:rsidR="00AB3800" w:rsidRPr="00C00B7C" w:rsidRDefault="00AB3800" w:rsidP="00AB3800">
            <w:pPr>
              <w:spacing w:after="0" w:line="240" w:lineRule="auto"/>
              <w:rPr>
                <w:rFonts w:eastAsia="Times New Roman" w:cs="Times New Roman"/>
                <w:color w:val="000000"/>
                <w:spacing w:val="0"/>
              </w:rPr>
            </w:pPr>
            <w:r w:rsidRPr="00C00B7C">
              <w:rPr>
                <w:rFonts w:eastAsia="Times New Roman" w:cs="Times New Roman"/>
                <w:color w:val="000000"/>
                <w:spacing w:val="0"/>
                <w:shd w:val="clear" w:color="auto" w:fill="FFFFFF"/>
              </w:rPr>
              <w:t xml:space="preserve">Except as described elsewhere in </w:t>
            </w:r>
            <w:r w:rsidR="00B0416F">
              <w:rPr>
                <w:rFonts w:eastAsia="Times New Roman" w:cs="Times New Roman"/>
                <w:color w:val="000000"/>
                <w:spacing w:val="0"/>
                <w:shd w:val="clear" w:color="auto" w:fill="FFFFFF"/>
              </w:rPr>
              <w:t>5 C.F.R. p</w:t>
            </w:r>
            <w:r w:rsidRPr="00C00B7C">
              <w:rPr>
                <w:rFonts w:eastAsia="Times New Roman" w:cs="Times New Roman"/>
                <w:color w:val="000000"/>
                <w:spacing w:val="0"/>
                <w:shd w:val="clear" w:color="auto" w:fill="FFFFFF"/>
              </w:rPr>
              <w:t>art</w:t>
            </w:r>
            <w:r w:rsidR="00131ABB" w:rsidRPr="00C00B7C">
              <w:rPr>
                <w:rFonts w:eastAsia="Times New Roman" w:cs="Times New Roman"/>
                <w:color w:val="000000"/>
                <w:spacing w:val="0"/>
                <w:shd w:val="clear" w:color="auto" w:fill="FFFFFF"/>
              </w:rPr>
              <w:t xml:space="preserve"> 731</w:t>
            </w:r>
            <w:r w:rsidRPr="00C00B7C">
              <w:rPr>
                <w:rFonts w:eastAsia="Times New Roman" w:cs="Times New Roman"/>
                <w:color w:val="000000"/>
                <w:spacing w:val="0"/>
                <w:shd w:val="clear" w:color="auto" w:fill="FFFFFF"/>
              </w:rPr>
              <w:t>, includes an appointment to the competitive service or career Senior Executive Service, an appointment to the excepted service, employment as a contractor employee, or employment as a nonappropriated fund employee</w:t>
            </w:r>
            <w:r w:rsidR="000D48E7" w:rsidRPr="00C00B7C">
              <w:rPr>
                <w:rFonts w:eastAsia="Times New Roman" w:cs="Times New Roman"/>
                <w:color w:val="000000"/>
                <w:spacing w:val="0"/>
                <w:shd w:val="clear" w:color="auto" w:fill="FFFFFF"/>
              </w:rPr>
              <w:t>.</w:t>
            </w:r>
          </w:p>
        </w:tc>
      </w:tr>
      <w:tr w:rsidR="00886241" w:rsidRPr="00AB3800" w14:paraId="07C444CC" w14:textId="77777777" w:rsidTr="36A80A07">
        <w:trPr>
          <w:cantSplit/>
        </w:trPr>
        <w:tc>
          <w:tcPr>
            <w:tcW w:w="3420" w:type="dxa"/>
            <w:tcBorders>
              <w:right w:val="single" w:sz="4" w:space="0" w:color="auto"/>
            </w:tcBorders>
          </w:tcPr>
          <w:p w14:paraId="00A9B126" w14:textId="77777777" w:rsidR="00AB3800" w:rsidRPr="00C00B7C" w:rsidDel="002871DD" w:rsidRDefault="00AB3800" w:rsidP="00AB3800">
            <w:pPr>
              <w:spacing w:after="0" w:line="240" w:lineRule="auto"/>
              <w:rPr>
                <w:rFonts w:eastAsia="Times New Roman" w:cs="Times New Roman"/>
                <w:caps/>
                <w:spacing w:val="0"/>
              </w:rPr>
            </w:pPr>
            <w:r w:rsidRPr="00C00B7C">
              <w:rPr>
                <w:rFonts w:eastAsia="Times New Roman" w:cs="Times New Roman"/>
                <w:caps/>
                <w:color w:val="000000"/>
                <w:spacing w:val="0"/>
              </w:rPr>
              <w:lastRenderedPageBreak/>
              <w:t>Excepted service</w:t>
            </w:r>
          </w:p>
        </w:tc>
        <w:tc>
          <w:tcPr>
            <w:tcW w:w="5873" w:type="dxa"/>
            <w:tcBorders>
              <w:left w:val="single" w:sz="4" w:space="0" w:color="auto"/>
            </w:tcBorders>
          </w:tcPr>
          <w:p w14:paraId="08FDB2E2" w14:textId="7B8E6794" w:rsidR="00AB3800" w:rsidRPr="00C00B7C" w:rsidDel="002871DD" w:rsidRDefault="00DA614C" w:rsidP="2AEFA46C">
            <w:pPr>
              <w:spacing w:after="0" w:line="240" w:lineRule="auto"/>
              <w:rPr>
                <w:rFonts w:eastAsia="Source Serif Pro" w:cs="Source Serif Pro"/>
                <w:color w:val="000000" w:themeColor="text1"/>
                <w:spacing w:val="0"/>
              </w:rPr>
            </w:pPr>
            <w:r>
              <w:rPr>
                <w:rFonts w:eastAsia="Times New Roman" w:cs="Times New Roman"/>
                <w:color w:val="000000"/>
                <w:spacing w:val="0"/>
              </w:rPr>
              <w:t>A</w:t>
            </w:r>
            <w:r w:rsidR="00AB3800" w:rsidRPr="00C00B7C">
              <w:rPr>
                <w:rFonts w:eastAsia="Times New Roman" w:cs="Times New Roman"/>
                <w:color w:val="000000"/>
                <w:spacing w:val="0"/>
              </w:rPr>
              <w:t>ny position of the executive branch either excepted from the competitive service or which is not in the Senior Executive Service. For the purposes of this regulation, excepted service does not include (1) any position in an element of the intelligence community as defined in the National Security Act of 1947, as amended, to the extent that the individual is not otherwise subject to OPM appointing authorities, (2) any position where OPM is statutorily precluded from prescribing such standards, and (3) any position when filled by political appointment. Senior Executive Service noncareer, limited term, and limited emergency appointments are not subject to suitability actions under this part. Excepted service does not mean any position excepted from the competitive service of the executive branch that could be noncompetitively converted to the competitive service. </w:t>
            </w:r>
            <w:r w:rsidR="4AEAB400" w:rsidRPr="00C00B7C">
              <w:rPr>
                <w:rFonts w:eastAsia="Times New Roman" w:cs="Times New Roman"/>
                <w:color w:val="000000"/>
                <w:spacing w:val="0"/>
              </w:rPr>
              <w:t xml:space="preserve">  (See also 5 U.S.C. </w:t>
            </w:r>
            <w:r w:rsidR="5C08C72F" w:rsidRPr="2AEFA46C">
              <w:rPr>
                <w:rFonts w:eastAsia="Source Serif Pro" w:cs="Source Serif Pro"/>
                <w:color w:val="000000" w:themeColor="text1"/>
              </w:rPr>
              <w:t>§ 2103</w:t>
            </w:r>
            <w:r w:rsidR="3DE3B066" w:rsidRPr="2AEFA46C">
              <w:rPr>
                <w:rFonts w:eastAsia="Source Serif Pro" w:cs="Source Serif Pro"/>
                <w:color w:val="000000" w:themeColor="text1"/>
              </w:rPr>
              <w:t xml:space="preserve"> – The excepted service.)</w:t>
            </w:r>
          </w:p>
        </w:tc>
      </w:tr>
      <w:tr w:rsidR="00886241" w:rsidRPr="00AB3800" w14:paraId="0B6D0CA7" w14:textId="77777777" w:rsidTr="36A80A07">
        <w:trPr>
          <w:cantSplit/>
        </w:trPr>
        <w:tc>
          <w:tcPr>
            <w:tcW w:w="3420" w:type="dxa"/>
            <w:tcBorders>
              <w:right w:val="single" w:sz="4" w:space="0" w:color="auto"/>
            </w:tcBorders>
          </w:tcPr>
          <w:p w14:paraId="0F900A09" w14:textId="77777777" w:rsidR="00AB3800" w:rsidRPr="00C00B7C" w:rsidRDefault="00AB3800" w:rsidP="00AB3800">
            <w:pPr>
              <w:spacing w:after="0" w:line="240" w:lineRule="auto"/>
              <w:rPr>
                <w:rFonts w:eastAsia="Times New Roman" w:cs="Times New Roman"/>
                <w:caps/>
                <w:color w:val="000000"/>
                <w:spacing w:val="0"/>
                <w:bdr w:val="none" w:sz="0" w:space="0" w:color="auto" w:frame="1"/>
              </w:rPr>
            </w:pPr>
            <w:r w:rsidRPr="00C00B7C">
              <w:rPr>
                <w:rFonts w:eastAsia="Times New Roman" w:cs="Times New Roman"/>
                <w:caps/>
                <w:color w:val="000000"/>
                <w:spacing w:val="0"/>
                <w:bdr w:val="none" w:sz="0" w:space="0" w:color="auto" w:frame="1"/>
              </w:rPr>
              <w:t>Federal Personnel Vetting Record</w:t>
            </w:r>
          </w:p>
        </w:tc>
        <w:tc>
          <w:tcPr>
            <w:tcW w:w="5873" w:type="dxa"/>
            <w:tcBorders>
              <w:left w:val="single" w:sz="4" w:space="0" w:color="auto"/>
            </w:tcBorders>
          </w:tcPr>
          <w:p w14:paraId="23DDB4C7" w14:textId="030F4A27" w:rsidR="00AB3800" w:rsidRPr="00C00B7C" w:rsidRDefault="00AB3800" w:rsidP="00AB3800">
            <w:pPr>
              <w:spacing w:after="0" w:line="240" w:lineRule="auto"/>
              <w:rPr>
                <w:rFonts w:eastAsia="Times New Roman" w:cs="Times New Roman"/>
                <w:color w:val="000000"/>
                <w:spacing w:val="0"/>
              </w:rPr>
            </w:pPr>
            <w:r w:rsidRPr="00C00B7C">
              <w:rPr>
                <w:rFonts w:eastAsia="Times New Roman" w:cs="Times New Roman"/>
                <w:color w:val="000000"/>
                <w:spacing w:val="0"/>
              </w:rPr>
              <w:t>The totality of all personnel vetting-related information maintained on an individual, including vetting actions, investigations, and adjudicative information, and is maintained in the government-wide repositories and/or agency internal records. (See Federal Personnel Vetting Management Standards, section XII).</w:t>
            </w:r>
          </w:p>
        </w:tc>
      </w:tr>
      <w:tr w:rsidR="00886241" w:rsidRPr="00AB3800" w14:paraId="4E928AF3" w14:textId="77777777" w:rsidTr="36A80A07">
        <w:trPr>
          <w:cantSplit/>
          <w:trHeight w:val="1907"/>
        </w:trPr>
        <w:tc>
          <w:tcPr>
            <w:tcW w:w="3420" w:type="dxa"/>
            <w:tcBorders>
              <w:right w:val="single" w:sz="4" w:space="0" w:color="auto"/>
            </w:tcBorders>
          </w:tcPr>
          <w:p w14:paraId="718B1009" w14:textId="77777777" w:rsidR="00AB3800" w:rsidRPr="00C00B7C" w:rsidDel="002871DD" w:rsidRDefault="00AB3800" w:rsidP="00AB3800">
            <w:pPr>
              <w:spacing w:after="0" w:line="240" w:lineRule="auto"/>
              <w:rPr>
                <w:rFonts w:eastAsia="Times New Roman" w:cs="Times New Roman"/>
                <w:caps/>
                <w:spacing w:val="0"/>
              </w:rPr>
            </w:pPr>
            <w:r w:rsidRPr="00C00B7C">
              <w:rPr>
                <w:rFonts w:eastAsia="Times New Roman" w:cs="Times New Roman"/>
                <w:caps/>
                <w:color w:val="000000"/>
                <w:spacing w:val="0"/>
                <w:bdr w:val="none" w:sz="0" w:space="0" w:color="auto" w:frame="1"/>
              </w:rPr>
              <w:t>Fitness</w:t>
            </w:r>
          </w:p>
        </w:tc>
        <w:tc>
          <w:tcPr>
            <w:tcW w:w="5873" w:type="dxa"/>
            <w:tcBorders>
              <w:left w:val="single" w:sz="4" w:space="0" w:color="auto"/>
            </w:tcBorders>
          </w:tcPr>
          <w:p w14:paraId="7EF315A6" w14:textId="36F4A67F" w:rsidR="00AB3800" w:rsidRPr="00C00B7C" w:rsidDel="002871DD" w:rsidRDefault="00DA614C" w:rsidP="00AB3800">
            <w:pPr>
              <w:spacing w:after="0" w:line="240" w:lineRule="auto"/>
              <w:rPr>
                <w:rFonts w:eastAsia="Times New Roman" w:cs="Times New Roman"/>
                <w:spacing w:val="0"/>
              </w:rPr>
            </w:pPr>
            <w:r>
              <w:rPr>
                <w:rFonts w:eastAsia="Times New Roman" w:cs="Times New Roman"/>
                <w:color w:val="000000"/>
                <w:spacing w:val="0"/>
              </w:rPr>
              <w:t>A</w:t>
            </w:r>
            <w:r w:rsidR="00AB3800" w:rsidRPr="00C00B7C">
              <w:rPr>
                <w:rFonts w:eastAsia="Times New Roman" w:cs="Times New Roman"/>
                <w:color w:val="000000"/>
                <w:spacing w:val="0"/>
              </w:rPr>
              <w:t xml:space="preserve"> decision by an agency that an individual has or does not have the required level of character and conduct necessary to perform work for a Federal agency as an excepted service employee. These determinations are based on whether an individual’s character or conduct may have an adverse impact on the integrity or efficiency of the service. </w:t>
            </w:r>
          </w:p>
        </w:tc>
      </w:tr>
      <w:tr w:rsidR="00886241" w:rsidRPr="00AB3800" w14:paraId="5C35648D" w14:textId="77777777" w:rsidTr="36A80A07">
        <w:trPr>
          <w:cantSplit/>
        </w:trPr>
        <w:tc>
          <w:tcPr>
            <w:tcW w:w="3420" w:type="dxa"/>
            <w:tcBorders>
              <w:right w:val="single" w:sz="4" w:space="0" w:color="auto"/>
            </w:tcBorders>
          </w:tcPr>
          <w:p w14:paraId="4779E159" w14:textId="77777777" w:rsidR="00AB3800" w:rsidRPr="00C00B7C" w:rsidRDefault="00AB3800" w:rsidP="00AB3800">
            <w:pPr>
              <w:spacing w:after="0" w:line="240" w:lineRule="auto"/>
              <w:rPr>
                <w:rFonts w:eastAsia="Times New Roman" w:cs="Times New Roman"/>
                <w:caps/>
                <w:spacing w:val="0"/>
              </w:rPr>
            </w:pPr>
            <w:r w:rsidRPr="00C00B7C">
              <w:rPr>
                <w:rFonts w:eastAsia="Times New Roman" w:cs="Times New Roman"/>
                <w:caps/>
                <w:spacing w:val="0"/>
              </w:rPr>
              <w:t>HIGH RISK,</w:t>
            </w:r>
          </w:p>
          <w:p w14:paraId="29C6DB44" w14:textId="77777777" w:rsidR="00AB3800" w:rsidRPr="002A064E" w:rsidRDefault="00AB3800" w:rsidP="00AB3800">
            <w:pPr>
              <w:spacing w:after="0" w:line="240" w:lineRule="auto"/>
              <w:rPr>
                <w:rFonts w:eastAsia="Times New Roman" w:cs="Times New Roman"/>
                <w:caps/>
                <w:spacing w:val="0"/>
              </w:rPr>
            </w:pPr>
            <w:r w:rsidRPr="00C00B7C">
              <w:rPr>
                <w:rFonts w:eastAsia="Times New Roman" w:cs="Times New Roman"/>
                <w:caps/>
                <w:spacing w:val="0"/>
              </w:rPr>
              <w:t>(HR</w:t>
            </w:r>
            <w:r w:rsidRPr="002A064E">
              <w:rPr>
                <w:rFonts w:eastAsia="Times New Roman" w:cs="Times New Roman"/>
                <w:caps/>
                <w:spacing w:val="0"/>
              </w:rPr>
              <w:t>)</w:t>
            </w:r>
          </w:p>
        </w:tc>
        <w:tc>
          <w:tcPr>
            <w:tcW w:w="5873" w:type="dxa"/>
            <w:tcBorders>
              <w:left w:val="single" w:sz="4" w:space="0" w:color="auto"/>
            </w:tcBorders>
          </w:tcPr>
          <w:p w14:paraId="4CD68191" w14:textId="77777777" w:rsidR="00AB3800" w:rsidRPr="002A064E" w:rsidRDefault="00AB3800" w:rsidP="00AB3800">
            <w:pPr>
              <w:spacing w:after="0" w:line="240" w:lineRule="auto"/>
              <w:rPr>
                <w:rFonts w:eastAsia="Times New Roman" w:cs="Times New Roman"/>
                <w:spacing w:val="0"/>
              </w:rPr>
            </w:pPr>
            <w:r w:rsidRPr="002A064E">
              <w:rPr>
                <w:rFonts w:eastAsia="Times New Roman" w:cs="Times New Roman"/>
                <w:spacing w:val="0"/>
              </w:rPr>
              <w:t>A final position designation assessment reflecting the potential for exceptionally serious impact, critical to an agency program or mission or the integrity or efficiency of the service.</w:t>
            </w:r>
          </w:p>
        </w:tc>
      </w:tr>
      <w:tr w:rsidR="00886241" w:rsidRPr="00AB3800" w14:paraId="642636CA" w14:textId="77777777" w:rsidTr="36A80A07">
        <w:trPr>
          <w:cantSplit/>
        </w:trPr>
        <w:tc>
          <w:tcPr>
            <w:tcW w:w="3420" w:type="dxa"/>
            <w:tcBorders>
              <w:right w:val="single" w:sz="4" w:space="0" w:color="auto"/>
            </w:tcBorders>
          </w:tcPr>
          <w:p w14:paraId="180EADBE" w14:textId="77777777" w:rsidR="00AB3800" w:rsidRPr="002A064E" w:rsidRDefault="00AB3800" w:rsidP="00AB3800">
            <w:pPr>
              <w:spacing w:after="0" w:line="240" w:lineRule="auto"/>
              <w:rPr>
                <w:rFonts w:eastAsia="Times New Roman" w:cs="Times New Roman"/>
                <w:caps/>
                <w:spacing w:val="0"/>
              </w:rPr>
            </w:pPr>
            <w:r w:rsidRPr="002A064E">
              <w:rPr>
                <w:rFonts w:eastAsia="Times New Roman" w:cs="Times New Roman"/>
                <w:caps/>
                <w:spacing w:val="0"/>
              </w:rPr>
              <w:t>High Tier (HT)</w:t>
            </w:r>
          </w:p>
        </w:tc>
        <w:tc>
          <w:tcPr>
            <w:tcW w:w="5873" w:type="dxa"/>
            <w:tcBorders>
              <w:left w:val="single" w:sz="4" w:space="0" w:color="auto"/>
              <w:bottom w:val="single" w:sz="4" w:space="0" w:color="auto"/>
            </w:tcBorders>
          </w:tcPr>
          <w:p w14:paraId="062C14CA" w14:textId="60828283" w:rsidR="00AB3800" w:rsidRPr="002A064E" w:rsidRDefault="00AB3800" w:rsidP="00AB3800">
            <w:pPr>
              <w:spacing w:after="0" w:line="240" w:lineRule="auto"/>
              <w:rPr>
                <w:rFonts w:eastAsia="Times New Roman" w:cs="Times New Roman"/>
                <w:spacing w:val="0"/>
              </w:rPr>
            </w:pPr>
            <w:r w:rsidRPr="002A064E">
              <w:rPr>
                <w:rFonts w:eastAsia="Times New Roman" w:cs="Times New Roman"/>
                <w:spacing w:val="0"/>
              </w:rPr>
              <w:t>Positions designated as high-risk public trust and/or critical sensitive or special sensitive. For critical or special sensitive positions, the level of investigation can be used to grant access to classified information at the Top Secret level, access to Sensitive Compartmented Information, or Q access.</w:t>
            </w:r>
          </w:p>
        </w:tc>
      </w:tr>
      <w:tr w:rsidR="00E764BE" w:rsidRPr="00AB3800" w14:paraId="18A6EB7A" w14:textId="77777777" w:rsidTr="36A80A07">
        <w:trPr>
          <w:cantSplit/>
        </w:trPr>
        <w:tc>
          <w:tcPr>
            <w:tcW w:w="3420" w:type="dxa"/>
            <w:tcBorders>
              <w:right w:val="single" w:sz="4" w:space="0" w:color="auto"/>
            </w:tcBorders>
          </w:tcPr>
          <w:p w14:paraId="2910C012" w14:textId="77777777" w:rsidR="00AB3800" w:rsidRPr="00123E1C" w:rsidRDefault="00AB3800" w:rsidP="00AB3800">
            <w:pPr>
              <w:spacing w:after="0" w:line="240" w:lineRule="auto"/>
              <w:rPr>
                <w:rFonts w:eastAsia="Times New Roman" w:cs="Times New Roman"/>
                <w:caps/>
                <w:spacing w:val="0"/>
              </w:rPr>
            </w:pPr>
            <w:r w:rsidRPr="00123E1C">
              <w:rPr>
                <w:rFonts w:eastAsia="Times New Roman" w:cs="Times New Roman"/>
                <w:caps/>
                <w:spacing w:val="0"/>
              </w:rPr>
              <w:lastRenderedPageBreak/>
              <w:t>Initial Vetting</w:t>
            </w:r>
          </w:p>
        </w:tc>
        <w:tc>
          <w:tcPr>
            <w:tcW w:w="5873" w:type="dxa"/>
            <w:tcBorders>
              <w:left w:val="single" w:sz="4" w:space="0" w:color="auto"/>
            </w:tcBorders>
          </w:tcPr>
          <w:p w14:paraId="4E71B8DF" w14:textId="17ABD617" w:rsidR="00AB3800" w:rsidRPr="00E853D1" w:rsidRDefault="00AB3800" w:rsidP="00AB3800">
            <w:pPr>
              <w:spacing w:after="0" w:line="240" w:lineRule="auto"/>
              <w:rPr>
                <w:rFonts w:eastAsia="Times New Roman" w:cs="Times New Roman"/>
                <w:spacing w:val="0"/>
              </w:rPr>
            </w:pPr>
            <w:r w:rsidRPr="00123E1C">
              <w:rPr>
                <w:rFonts w:eastAsia="Times New Roman" w:cs="Times New Roman"/>
                <w:spacing w:val="0"/>
              </w:rPr>
              <w:t>Initial vetting enables agencies to make well-informed decisions about whether those who have not be</w:t>
            </w:r>
            <w:r w:rsidR="00F344C6">
              <w:rPr>
                <w:rFonts w:eastAsia="Times New Roman" w:cs="Times New Roman"/>
                <w:spacing w:val="0"/>
              </w:rPr>
              <w:t>en</w:t>
            </w:r>
            <w:r w:rsidRPr="00123E1C">
              <w:rPr>
                <w:rFonts w:eastAsia="Times New Roman" w:cs="Times New Roman"/>
                <w:spacing w:val="0"/>
              </w:rPr>
              <w:t xml:space="preserve"> previously vetted present an acceptable risk to the Federal government regarding whether the individual will protect people, property, information, and mission. Information gathered during initial vetting provides insight and is used as a baseline for continuous vetting. (See Federal Personnel Vetting Guidelines, Federal Personnel Vetting Investigative Standards, and implementing guidance). </w:t>
            </w:r>
          </w:p>
        </w:tc>
      </w:tr>
      <w:tr w:rsidR="00E764BE" w:rsidRPr="00AB3800" w14:paraId="052F6585" w14:textId="77777777" w:rsidTr="36A80A07">
        <w:trPr>
          <w:cantSplit/>
        </w:trPr>
        <w:tc>
          <w:tcPr>
            <w:tcW w:w="3420" w:type="dxa"/>
            <w:tcBorders>
              <w:right w:val="single" w:sz="4" w:space="0" w:color="auto"/>
            </w:tcBorders>
          </w:tcPr>
          <w:p w14:paraId="56A45D6B" w14:textId="77777777" w:rsidR="00AB3800" w:rsidRPr="00123E1C" w:rsidRDefault="00AB3800" w:rsidP="00AB3800">
            <w:pPr>
              <w:spacing w:after="0" w:line="240" w:lineRule="auto"/>
              <w:rPr>
                <w:rFonts w:eastAsia="Times New Roman" w:cs="Times New Roman"/>
                <w:caps/>
                <w:spacing w:val="0"/>
              </w:rPr>
            </w:pPr>
            <w:r w:rsidRPr="00123E1C">
              <w:rPr>
                <w:rFonts w:eastAsia="Times New Roman" w:cs="Times New Roman"/>
                <w:caps/>
                <w:spacing w:val="0"/>
              </w:rPr>
              <w:t>Investigative Tiers</w:t>
            </w:r>
          </w:p>
        </w:tc>
        <w:tc>
          <w:tcPr>
            <w:tcW w:w="5873" w:type="dxa"/>
            <w:tcBorders>
              <w:left w:val="single" w:sz="4" w:space="0" w:color="auto"/>
            </w:tcBorders>
          </w:tcPr>
          <w:p w14:paraId="7BCE2D2F" w14:textId="5057A53C" w:rsidR="00AB3800" w:rsidRPr="00E853D1" w:rsidRDefault="00AB3800" w:rsidP="00AB3800">
            <w:pPr>
              <w:spacing w:after="0" w:line="240" w:lineRule="auto"/>
              <w:rPr>
                <w:rFonts w:eastAsia="Times New Roman" w:cs="Times New Roman"/>
                <w:spacing w:val="0"/>
              </w:rPr>
            </w:pPr>
            <w:r w:rsidRPr="00123E1C">
              <w:rPr>
                <w:rFonts w:eastAsia="Times New Roman" w:cs="Times New Roman"/>
                <w:spacing w:val="0"/>
              </w:rPr>
              <w:t>There are three investigative tiers aligned to support trust determinations for suitability, fitness, national security, and/or credentialing, as appropriate to the designations at each risk level and to permit mobility to the greatest extent possible. The investigation for each tier builds upon the tier below it, with coverage and complexity of each tier commensurate with designation of the position for which the individual is being vetting. The tiers are: Low Tier (LT), Moderate Tier (MT), and High Tier (HT). (Federal Personnel Investigative Standards and Federal Personnel Vetting Guidelines).</w:t>
            </w:r>
          </w:p>
        </w:tc>
      </w:tr>
      <w:tr w:rsidR="00886241" w:rsidRPr="00AB3800" w14:paraId="0FFDA9C4" w14:textId="77777777" w:rsidTr="36A80A07">
        <w:trPr>
          <w:cantSplit/>
        </w:trPr>
        <w:tc>
          <w:tcPr>
            <w:tcW w:w="3420" w:type="dxa"/>
            <w:tcBorders>
              <w:right w:val="single" w:sz="4" w:space="0" w:color="auto"/>
            </w:tcBorders>
          </w:tcPr>
          <w:p w14:paraId="06565532" w14:textId="77777777" w:rsidR="00AB3800" w:rsidRPr="00123E1C" w:rsidRDefault="00AB3800" w:rsidP="00AB3800">
            <w:pPr>
              <w:spacing w:after="0" w:line="240" w:lineRule="auto"/>
              <w:rPr>
                <w:rFonts w:eastAsia="Times New Roman" w:cs="Times New Roman"/>
                <w:caps/>
                <w:spacing w:val="0"/>
              </w:rPr>
            </w:pPr>
            <w:r w:rsidRPr="00123E1C">
              <w:rPr>
                <w:rFonts w:eastAsia="Times New Roman" w:cs="Times New Roman"/>
                <w:caps/>
                <w:spacing w:val="0"/>
              </w:rPr>
              <w:t>INV Form 79A</w:t>
            </w:r>
          </w:p>
        </w:tc>
        <w:tc>
          <w:tcPr>
            <w:tcW w:w="5873" w:type="dxa"/>
            <w:tcBorders>
              <w:left w:val="single" w:sz="4" w:space="0" w:color="auto"/>
            </w:tcBorders>
          </w:tcPr>
          <w:p w14:paraId="390F0348" w14:textId="7911DA30" w:rsidR="00AB3800" w:rsidRPr="00123E1C" w:rsidRDefault="00AB3800" w:rsidP="00AB3800">
            <w:pPr>
              <w:spacing w:after="0" w:line="240" w:lineRule="auto"/>
              <w:rPr>
                <w:rFonts w:eastAsia="Times New Roman" w:cs="Times New Roman"/>
                <w:spacing w:val="0"/>
              </w:rPr>
            </w:pPr>
            <w:r w:rsidRPr="00123E1C">
              <w:rPr>
                <w:rFonts w:eastAsia="Times New Roman" w:cs="Times New Roman"/>
                <w:spacing w:val="0"/>
              </w:rPr>
              <w:t>Report of Agency Adjudicative Action on Personnel Investigations.</w:t>
            </w:r>
          </w:p>
        </w:tc>
      </w:tr>
      <w:tr w:rsidR="00886241" w:rsidRPr="00AB3800" w14:paraId="7DD60BF1" w14:textId="77777777" w:rsidTr="36A80A07">
        <w:trPr>
          <w:cantSplit/>
        </w:trPr>
        <w:tc>
          <w:tcPr>
            <w:tcW w:w="3420" w:type="dxa"/>
            <w:tcBorders>
              <w:right w:val="single" w:sz="4" w:space="0" w:color="auto"/>
            </w:tcBorders>
          </w:tcPr>
          <w:p w14:paraId="1166780F" w14:textId="77777777" w:rsidR="00AB3800" w:rsidRPr="003629AD" w:rsidRDefault="00AB3800" w:rsidP="00AB3800">
            <w:pPr>
              <w:spacing w:after="0" w:line="240" w:lineRule="auto"/>
              <w:rPr>
                <w:rFonts w:eastAsia="Times New Roman" w:cs="Times New Roman"/>
                <w:caps/>
                <w:spacing w:val="0"/>
              </w:rPr>
            </w:pPr>
            <w:r w:rsidRPr="00123E1C">
              <w:rPr>
                <w:rFonts w:eastAsia="Times New Roman" w:cs="Times New Roman"/>
                <w:caps/>
                <w:spacing w:val="0"/>
              </w:rPr>
              <w:t>INV Form 79C</w:t>
            </w:r>
          </w:p>
        </w:tc>
        <w:tc>
          <w:tcPr>
            <w:tcW w:w="5873" w:type="dxa"/>
            <w:tcBorders>
              <w:left w:val="single" w:sz="4" w:space="0" w:color="auto"/>
            </w:tcBorders>
          </w:tcPr>
          <w:p w14:paraId="23187F3D" w14:textId="77777777" w:rsidR="00AB3800" w:rsidRPr="003629AD" w:rsidRDefault="00AB3800" w:rsidP="00AB3800">
            <w:pPr>
              <w:spacing w:after="0" w:line="240" w:lineRule="auto"/>
              <w:rPr>
                <w:rFonts w:eastAsia="Times New Roman" w:cs="Times New Roman"/>
                <w:spacing w:val="0"/>
              </w:rPr>
            </w:pPr>
            <w:r w:rsidRPr="003629AD">
              <w:rPr>
                <w:rFonts w:eastAsia="Times New Roman" w:cs="Times New Roman"/>
                <w:spacing w:val="0"/>
              </w:rPr>
              <w:t>Report of Agency Unfavorable Adjudicative Action on Non-Investigated Applicants or Appointees.</w:t>
            </w:r>
          </w:p>
        </w:tc>
      </w:tr>
      <w:tr w:rsidR="00886241" w:rsidRPr="00AB3800" w14:paraId="2962B77F" w14:textId="77777777" w:rsidTr="36A80A07">
        <w:trPr>
          <w:cantSplit/>
        </w:trPr>
        <w:tc>
          <w:tcPr>
            <w:tcW w:w="3420" w:type="dxa"/>
            <w:tcBorders>
              <w:right w:val="single" w:sz="4" w:space="0" w:color="auto"/>
            </w:tcBorders>
          </w:tcPr>
          <w:p w14:paraId="17951304" w14:textId="77777777" w:rsidR="00AB3800" w:rsidRPr="003629AD" w:rsidRDefault="00AB3800" w:rsidP="00AB3800">
            <w:pPr>
              <w:spacing w:after="0" w:line="240" w:lineRule="auto"/>
              <w:rPr>
                <w:rFonts w:eastAsia="Times New Roman" w:cs="Times New Roman"/>
                <w:caps/>
                <w:spacing w:val="0"/>
              </w:rPr>
            </w:pPr>
            <w:r w:rsidRPr="003629AD">
              <w:rPr>
                <w:rFonts w:eastAsia="Times New Roman" w:cs="Times New Roman"/>
                <w:caps/>
                <w:spacing w:val="0"/>
              </w:rPr>
              <w:t>JURISDICTION</w:t>
            </w:r>
          </w:p>
        </w:tc>
        <w:tc>
          <w:tcPr>
            <w:tcW w:w="5873" w:type="dxa"/>
            <w:tcBorders>
              <w:left w:val="single" w:sz="4" w:space="0" w:color="auto"/>
            </w:tcBorders>
          </w:tcPr>
          <w:p w14:paraId="4D073AAC" w14:textId="77777777" w:rsidR="00AB3800" w:rsidRPr="003629AD" w:rsidRDefault="00AB3800" w:rsidP="00AB3800">
            <w:pPr>
              <w:spacing w:after="0" w:line="240" w:lineRule="auto"/>
              <w:rPr>
                <w:rFonts w:eastAsia="Times New Roman" w:cs="Times New Roman"/>
                <w:spacing w:val="0"/>
              </w:rPr>
            </w:pPr>
            <w:r w:rsidRPr="003629AD">
              <w:rPr>
                <w:rFonts w:eastAsia="Times New Roman" w:cs="Times New Roman"/>
                <w:spacing w:val="0"/>
              </w:rPr>
              <w:t>The limits within which authority can be exercised or asserted.</w:t>
            </w:r>
          </w:p>
        </w:tc>
      </w:tr>
      <w:tr w:rsidR="00886241" w:rsidRPr="00AB3800" w14:paraId="55E74FDF" w14:textId="77777777" w:rsidTr="36A80A07">
        <w:trPr>
          <w:cantSplit/>
        </w:trPr>
        <w:tc>
          <w:tcPr>
            <w:tcW w:w="3420" w:type="dxa"/>
            <w:tcBorders>
              <w:right w:val="single" w:sz="4" w:space="0" w:color="auto"/>
            </w:tcBorders>
          </w:tcPr>
          <w:p w14:paraId="42B0CBCA" w14:textId="77777777" w:rsidR="00AB3800" w:rsidRPr="00F46AC1" w:rsidRDefault="00AB3800" w:rsidP="00AB3800">
            <w:pPr>
              <w:spacing w:after="0" w:line="240" w:lineRule="auto"/>
              <w:rPr>
                <w:rFonts w:eastAsia="Times New Roman" w:cs="Times New Roman"/>
                <w:caps/>
                <w:spacing w:val="0"/>
              </w:rPr>
            </w:pPr>
            <w:r w:rsidRPr="00F46AC1">
              <w:rPr>
                <w:rFonts w:eastAsia="Times New Roman" w:cs="Times New Roman"/>
                <w:caps/>
                <w:spacing w:val="0"/>
              </w:rPr>
              <w:t>LOW RISK</w:t>
            </w:r>
          </w:p>
          <w:p w14:paraId="1386D10A" w14:textId="77777777" w:rsidR="00AB3800" w:rsidRPr="00F46AC1" w:rsidRDefault="00AB3800" w:rsidP="00AB3800">
            <w:pPr>
              <w:spacing w:after="0" w:line="240" w:lineRule="auto"/>
              <w:rPr>
                <w:rFonts w:eastAsia="Times New Roman" w:cs="Times New Roman"/>
                <w:caps/>
                <w:spacing w:val="0"/>
              </w:rPr>
            </w:pPr>
            <w:r w:rsidRPr="00F46AC1">
              <w:rPr>
                <w:rFonts w:eastAsia="Times New Roman" w:cs="Times New Roman"/>
                <w:caps/>
                <w:spacing w:val="0"/>
              </w:rPr>
              <w:t>(LR)</w:t>
            </w:r>
          </w:p>
        </w:tc>
        <w:tc>
          <w:tcPr>
            <w:tcW w:w="5873" w:type="dxa"/>
            <w:tcBorders>
              <w:left w:val="single" w:sz="4" w:space="0" w:color="auto"/>
            </w:tcBorders>
          </w:tcPr>
          <w:p w14:paraId="360E1924" w14:textId="77777777" w:rsidR="00AB3800" w:rsidRPr="00F46AC1" w:rsidRDefault="00AB3800" w:rsidP="00AB3800">
            <w:pPr>
              <w:spacing w:after="0" w:line="240" w:lineRule="auto"/>
              <w:rPr>
                <w:rFonts w:eastAsia="Times New Roman" w:cs="Times New Roman"/>
                <w:spacing w:val="0"/>
              </w:rPr>
            </w:pPr>
            <w:r w:rsidRPr="00F46AC1">
              <w:rPr>
                <w:rFonts w:eastAsia="Times New Roman" w:cs="Times New Roman"/>
                <w:spacing w:val="0"/>
              </w:rPr>
              <w:t xml:space="preserve">A final position designation assessment reflecting the potential for limited impact on an agency program or mission or the integrity or efficiency of the service. </w:t>
            </w:r>
          </w:p>
        </w:tc>
      </w:tr>
      <w:tr w:rsidR="00886241" w:rsidRPr="00AB3800" w14:paraId="39D98C3E" w14:textId="77777777" w:rsidTr="36A80A07">
        <w:trPr>
          <w:cantSplit/>
        </w:trPr>
        <w:tc>
          <w:tcPr>
            <w:tcW w:w="3420" w:type="dxa"/>
            <w:tcBorders>
              <w:right w:val="single" w:sz="4" w:space="0" w:color="auto"/>
            </w:tcBorders>
          </w:tcPr>
          <w:p w14:paraId="25EFF707" w14:textId="77777777" w:rsidR="00AB3800" w:rsidRPr="00F46AC1" w:rsidDel="00454262" w:rsidRDefault="00AB3800" w:rsidP="00AB3800">
            <w:pPr>
              <w:spacing w:after="0" w:line="240" w:lineRule="auto"/>
              <w:rPr>
                <w:rFonts w:eastAsia="Times New Roman" w:cs="Times New Roman"/>
                <w:caps/>
                <w:spacing w:val="0"/>
              </w:rPr>
            </w:pPr>
            <w:r w:rsidRPr="00F46AC1">
              <w:rPr>
                <w:rFonts w:eastAsia="Times New Roman" w:cs="Times New Roman"/>
                <w:caps/>
                <w:spacing w:val="0"/>
              </w:rPr>
              <w:t>Low Tier (LT)</w:t>
            </w:r>
          </w:p>
        </w:tc>
        <w:tc>
          <w:tcPr>
            <w:tcW w:w="5873" w:type="dxa"/>
            <w:tcBorders>
              <w:left w:val="single" w:sz="4" w:space="0" w:color="auto"/>
            </w:tcBorders>
          </w:tcPr>
          <w:p w14:paraId="01E4994B" w14:textId="42D8F875" w:rsidR="00AB3800" w:rsidRPr="00F46AC1" w:rsidDel="00454262" w:rsidRDefault="00AB3800" w:rsidP="00AB3800">
            <w:pPr>
              <w:spacing w:after="0" w:line="240" w:lineRule="auto"/>
              <w:rPr>
                <w:rFonts w:eastAsia="Times New Roman" w:cs="Times New Roman"/>
                <w:spacing w:val="0"/>
              </w:rPr>
            </w:pPr>
            <w:r w:rsidRPr="00F46AC1">
              <w:rPr>
                <w:rFonts w:eastAsia="Times New Roman" w:cs="Times New Roman"/>
                <w:spacing w:val="0"/>
              </w:rPr>
              <w:t xml:space="preserve">Positions designated as low-risk, non-sensitive, and the minimum tier for eligibility for physical and/or logical access or credentialing determinations. </w:t>
            </w:r>
          </w:p>
        </w:tc>
      </w:tr>
      <w:tr w:rsidR="00886241" w:rsidRPr="00AB3800" w14:paraId="6DC21A26" w14:textId="77777777" w:rsidTr="36A80A07">
        <w:trPr>
          <w:cantSplit/>
        </w:trPr>
        <w:tc>
          <w:tcPr>
            <w:tcW w:w="3420" w:type="dxa"/>
            <w:tcBorders>
              <w:right w:val="single" w:sz="4" w:space="0" w:color="auto"/>
            </w:tcBorders>
          </w:tcPr>
          <w:p w14:paraId="69E5F0A1" w14:textId="77777777" w:rsidR="00AB3800" w:rsidRPr="00F46AC1" w:rsidRDefault="00AB3800" w:rsidP="00AB3800">
            <w:pPr>
              <w:spacing w:after="0" w:line="240" w:lineRule="auto"/>
              <w:rPr>
                <w:rFonts w:eastAsia="Times New Roman" w:cs="Times New Roman"/>
                <w:caps/>
                <w:spacing w:val="0"/>
              </w:rPr>
            </w:pPr>
            <w:r w:rsidRPr="00F46AC1">
              <w:rPr>
                <w:rFonts w:eastAsia="Times New Roman" w:cs="Times New Roman"/>
                <w:caps/>
                <w:color w:val="000000"/>
                <w:spacing w:val="0"/>
                <w:bdr w:val="none" w:sz="0" w:space="0" w:color="auto" w:frame="1"/>
              </w:rPr>
              <w:t xml:space="preserve"> Material</w:t>
            </w:r>
          </w:p>
        </w:tc>
        <w:tc>
          <w:tcPr>
            <w:tcW w:w="5873" w:type="dxa"/>
            <w:tcBorders>
              <w:left w:val="single" w:sz="4" w:space="0" w:color="auto"/>
            </w:tcBorders>
          </w:tcPr>
          <w:p w14:paraId="354D339F" w14:textId="2E61243C" w:rsidR="00AB3800" w:rsidRPr="00F46AC1" w:rsidRDefault="004A19E9" w:rsidP="00AB3800">
            <w:pPr>
              <w:spacing w:after="0" w:line="240" w:lineRule="auto"/>
              <w:rPr>
                <w:rFonts w:eastAsia="Times New Roman" w:cs="Times New Roman"/>
                <w:spacing w:val="0"/>
              </w:rPr>
            </w:pPr>
            <w:r w:rsidRPr="00F46AC1">
              <w:rPr>
                <w:rFonts w:eastAsia="Times New Roman" w:cs="Times New Roman"/>
                <w:color w:val="000000"/>
                <w:spacing w:val="0"/>
                <w:shd w:val="clear" w:color="auto" w:fill="FFFFFF"/>
              </w:rPr>
              <w:t>I</w:t>
            </w:r>
            <w:r w:rsidR="00AB3800" w:rsidRPr="00F46AC1">
              <w:rPr>
                <w:rFonts w:eastAsia="Times New Roman" w:cs="Times New Roman"/>
                <w:color w:val="000000"/>
                <w:spacing w:val="0"/>
                <w:shd w:val="clear" w:color="auto" w:fill="FFFFFF"/>
              </w:rPr>
              <w:t>n reference to a statement, one that affects, or has a natural tendency to affect, or is capable of influencing, an official decision even if OPM or an agency does not rely upon it.</w:t>
            </w:r>
          </w:p>
        </w:tc>
      </w:tr>
      <w:tr w:rsidR="00886241" w:rsidRPr="00AB3800" w14:paraId="2279E55F" w14:textId="77777777" w:rsidTr="36A80A07">
        <w:trPr>
          <w:cantSplit/>
        </w:trPr>
        <w:tc>
          <w:tcPr>
            <w:tcW w:w="3420" w:type="dxa"/>
            <w:tcBorders>
              <w:right w:val="single" w:sz="4" w:space="0" w:color="auto"/>
            </w:tcBorders>
          </w:tcPr>
          <w:p w14:paraId="07E894D6" w14:textId="77777777" w:rsidR="00AB3800" w:rsidRPr="00F46AC1" w:rsidRDefault="00AB3800" w:rsidP="00AB3800">
            <w:pPr>
              <w:spacing w:after="0" w:line="240" w:lineRule="auto"/>
              <w:rPr>
                <w:rFonts w:eastAsia="Times New Roman" w:cs="Times New Roman"/>
                <w:caps/>
                <w:spacing w:val="0"/>
              </w:rPr>
            </w:pPr>
            <w:r w:rsidRPr="00F46AC1">
              <w:rPr>
                <w:rFonts w:eastAsia="Times New Roman" w:cs="Times New Roman"/>
                <w:caps/>
                <w:spacing w:val="0"/>
              </w:rPr>
              <w:t>MODERATE RISK</w:t>
            </w:r>
          </w:p>
          <w:p w14:paraId="00A27E95" w14:textId="77777777" w:rsidR="00AB3800" w:rsidRPr="00F46AC1" w:rsidRDefault="00AB3800" w:rsidP="00AB3800">
            <w:pPr>
              <w:spacing w:after="0" w:line="240" w:lineRule="auto"/>
              <w:rPr>
                <w:rFonts w:eastAsia="Times New Roman" w:cs="Times New Roman"/>
                <w:caps/>
                <w:spacing w:val="0"/>
              </w:rPr>
            </w:pPr>
            <w:r w:rsidRPr="00F46AC1">
              <w:rPr>
                <w:rFonts w:eastAsia="Times New Roman" w:cs="Times New Roman"/>
                <w:caps/>
                <w:spacing w:val="0"/>
              </w:rPr>
              <w:t>(MR)</w:t>
            </w:r>
          </w:p>
        </w:tc>
        <w:tc>
          <w:tcPr>
            <w:tcW w:w="5873" w:type="dxa"/>
            <w:tcBorders>
              <w:left w:val="single" w:sz="4" w:space="0" w:color="auto"/>
            </w:tcBorders>
          </w:tcPr>
          <w:p w14:paraId="74DECD61" w14:textId="77777777" w:rsidR="00AB3800" w:rsidRPr="00F46AC1" w:rsidRDefault="00AB3800" w:rsidP="00AB3800">
            <w:pPr>
              <w:spacing w:after="0" w:line="240" w:lineRule="auto"/>
              <w:rPr>
                <w:rFonts w:eastAsia="Times New Roman" w:cs="Times New Roman"/>
                <w:spacing w:val="0"/>
              </w:rPr>
            </w:pPr>
            <w:r w:rsidRPr="00F46AC1">
              <w:rPr>
                <w:rFonts w:eastAsia="Times New Roman" w:cs="Times New Roman"/>
                <w:spacing w:val="0"/>
              </w:rPr>
              <w:t>A final position designation assessment reflecting the potential for moderate to serious impact on an agency program or mission or the integrity or efficiency of the service.</w:t>
            </w:r>
          </w:p>
        </w:tc>
      </w:tr>
      <w:tr w:rsidR="00886241" w:rsidRPr="00AB3800" w14:paraId="68931E2F" w14:textId="77777777" w:rsidTr="36A80A07">
        <w:trPr>
          <w:cantSplit/>
        </w:trPr>
        <w:tc>
          <w:tcPr>
            <w:tcW w:w="3420" w:type="dxa"/>
            <w:tcBorders>
              <w:right w:val="single" w:sz="4" w:space="0" w:color="auto"/>
            </w:tcBorders>
          </w:tcPr>
          <w:p w14:paraId="39613884" w14:textId="77777777" w:rsidR="00AB3800" w:rsidRPr="00F46AC1" w:rsidRDefault="00AB3800" w:rsidP="00AB3800">
            <w:pPr>
              <w:spacing w:after="0" w:line="240" w:lineRule="auto"/>
              <w:rPr>
                <w:rFonts w:eastAsia="Times New Roman" w:cs="Times New Roman"/>
                <w:caps/>
                <w:spacing w:val="0"/>
              </w:rPr>
            </w:pPr>
            <w:r w:rsidRPr="00F46AC1">
              <w:rPr>
                <w:rFonts w:eastAsia="Times New Roman" w:cs="Times New Roman"/>
                <w:caps/>
                <w:spacing w:val="0"/>
              </w:rPr>
              <w:t>Moderate Tier (MT)</w:t>
            </w:r>
          </w:p>
        </w:tc>
        <w:tc>
          <w:tcPr>
            <w:tcW w:w="5873" w:type="dxa"/>
            <w:tcBorders>
              <w:left w:val="single" w:sz="4" w:space="0" w:color="auto"/>
            </w:tcBorders>
          </w:tcPr>
          <w:p w14:paraId="61C1F2F9" w14:textId="0D3E6D40" w:rsidR="00AB3800" w:rsidRPr="00F46AC1" w:rsidRDefault="00AB3800" w:rsidP="00AB3800">
            <w:pPr>
              <w:spacing w:after="0" w:line="240" w:lineRule="auto"/>
              <w:rPr>
                <w:rFonts w:eastAsia="Times New Roman" w:cs="Times New Roman"/>
                <w:spacing w:val="0"/>
              </w:rPr>
            </w:pPr>
            <w:r w:rsidRPr="00F46AC1">
              <w:rPr>
                <w:rFonts w:eastAsia="Times New Roman" w:cs="Times New Roman"/>
                <w:spacing w:val="0"/>
              </w:rPr>
              <w:t xml:space="preserve">Positions designated as moderate-risk public trust and/or non-critical sensitive. For non-critical sensitive positions, the level of investigation can be used to grant access to classified information at the Confidential or Secret level, or L access. </w:t>
            </w:r>
          </w:p>
        </w:tc>
      </w:tr>
      <w:tr w:rsidR="00886241" w:rsidRPr="00AB3800" w14:paraId="4A8F7C11" w14:textId="77777777" w:rsidTr="36A80A07">
        <w:trPr>
          <w:cantSplit/>
        </w:trPr>
        <w:tc>
          <w:tcPr>
            <w:tcW w:w="3420" w:type="dxa"/>
            <w:tcBorders>
              <w:right w:val="single" w:sz="4" w:space="0" w:color="auto"/>
            </w:tcBorders>
          </w:tcPr>
          <w:p w14:paraId="2E2ABDA2" w14:textId="77777777" w:rsidR="00AB3800" w:rsidRPr="00E66260" w:rsidRDefault="00AB3800" w:rsidP="00AB3800">
            <w:pPr>
              <w:spacing w:after="0" w:line="240" w:lineRule="auto"/>
              <w:rPr>
                <w:rFonts w:eastAsia="Times New Roman" w:cs="Times New Roman"/>
                <w:caps/>
                <w:spacing w:val="0"/>
              </w:rPr>
            </w:pPr>
            <w:r w:rsidRPr="00E66260">
              <w:rPr>
                <w:rFonts w:eastAsia="Times New Roman" w:cs="Times New Roman"/>
                <w:caps/>
                <w:spacing w:val="0"/>
              </w:rPr>
              <w:lastRenderedPageBreak/>
              <w:t>NEXUS</w:t>
            </w:r>
          </w:p>
        </w:tc>
        <w:tc>
          <w:tcPr>
            <w:tcW w:w="5873" w:type="dxa"/>
            <w:tcBorders>
              <w:left w:val="single" w:sz="4" w:space="0" w:color="auto"/>
            </w:tcBorders>
          </w:tcPr>
          <w:p w14:paraId="38B9CA37" w14:textId="77777777" w:rsidR="00AB3800" w:rsidRPr="00E66260" w:rsidRDefault="00AB3800" w:rsidP="00AB3800">
            <w:pPr>
              <w:spacing w:after="0" w:line="240" w:lineRule="auto"/>
              <w:rPr>
                <w:rFonts w:eastAsia="Times New Roman" w:cs="Times New Roman"/>
                <w:spacing w:val="0"/>
              </w:rPr>
            </w:pPr>
            <w:r w:rsidRPr="00E66260">
              <w:rPr>
                <w:rFonts w:eastAsia="Times New Roman" w:cs="Times New Roman"/>
                <w:spacing w:val="0"/>
              </w:rPr>
              <w:t>A direct or logical connection between a person’s character or conduct and the integrity or efficiency of the service.</w:t>
            </w:r>
          </w:p>
        </w:tc>
      </w:tr>
      <w:tr w:rsidR="00886241" w:rsidRPr="00AB3800" w14:paraId="5411D5DE" w14:textId="77777777" w:rsidTr="36A80A07">
        <w:trPr>
          <w:cantSplit/>
        </w:trPr>
        <w:tc>
          <w:tcPr>
            <w:tcW w:w="3420" w:type="dxa"/>
            <w:tcBorders>
              <w:right w:val="single" w:sz="4" w:space="0" w:color="auto"/>
            </w:tcBorders>
          </w:tcPr>
          <w:p w14:paraId="77E2B313" w14:textId="77777777" w:rsidR="00AB3800" w:rsidRPr="00E66260" w:rsidRDefault="00AB3800" w:rsidP="00AB3800">
            <w:pPr>
              <w:spacing w:after="0" w:line="240" w:lineRule="auto"/>
              <w:rPr>
                <w:rFonts w:eastAsia="Times New Roman" w:cs="Times New Roman"/>
                <w:caps/>
                <w:spacing w:val="0"/>
              </w:rPr>
            </w:pPr>
            <w:r w:rsidRPr="00E66260">
              <w:rPr>
                <w:rFonts w:eastAsia="Times New Roman" w:cs="Times New Roman"/>
                <w:caps/>
                <w:color w:val="000000"/>
                <w:spacing w:val="0"/>
                <w:shd w:val="clear" w:color="auto" w:fill="FFFFFF"/>
              </w:rPr>
              <w:t>Nonappropriated fund employee</w:t>
            </w:r>
          </w:p>
        </w:tc>
        <w:tc>
          <w:tcPr>
            <w:tcW w:w="5873" w:type="dxa"/>
            <w:tcBorders>
              <w:left w:val="single" w:sz="4" w:space="0" w:color="auto"/>
            </w:tcBorders>
          </w:tcPr>
          <w:p w14:paraId="4EFCD204" w14:textId="36DC70CD" w:rsidR="00AB3800" w:rsidRPr="00E66260" w:rsidRDefault="004A19E9" w:rsidP="00AB3800">
            <w:pPr>
              <w:tabs>
                <w:tab w:val="left" w:pos="1305"/>
              </w:tabs>
              <w:spacing w:after="0" w:line="240" w:lineRule="auto"/>
              <w:rPr>
                <w:rFonts w:eastAsia="Times New Roman" w:cs="Times New Roman"/>
                <w:spacing w:val="0"/>
              </w:rPr>
            </w:pPr>
            <w:r w:rsidRPr="00E66260">
              <w:rPr>
                <w:rFonts w:eastAsia="Times New Roman" w:cs="Times New Roman"/>
                <w:spacing w:val="0"/>
              </w:rPr>
              <w:t>A</w:t>
            </w:r>
            <w:r w:rsidR="00AB3800" w:rsidRPr="00E66260">
              <w:rPr>
                <w:rFonts w:eastAsia="Times New Roman" w:cs="Times New Roman"/>
                <w:color w:val="000000"/>
                <w:spacing w:val="0"/>
              </w:rPr>
              <w:t>n employee paid from nonappropriated funds of an instrumentality of the United States under the jurisdiction of the Armed Forces conducted for the comfort, pleasure, contentment, and mental and physical improvement of personnel of the Armed Forces as described in 5 U.S.C. 2105. </w:t>
            </w:r>
          </w:p>
        </w:tc>
      </w:tr>
      <w:tr w:rsidR="00886241" w:rsidRPr="00AB3800" w14:paraId="19004893" w14:textId="77777777" w:rsidTr="36A80A07">
        <w:trPr>
          <w:cantSplit/>
        </w:trPr>
        <w:tc>
          <w:tcPr>
            <w:tcW w:w="3420" w:type="dxa"/>
            <w:tcBorders>
              <w:right w:val="single" w:sz="4" w:space="0" w:color="auto"/>
            </w:tcBorders>
          </w:tcPr>
          <w:p w14:paraId="4B468D80" w14:textId="77777777" w:rsidR="00AB3800" w:rsidRPr="00B4196F" w:rsidRDefault="00AB3800" w:rsidP="00AB3800">
            <w:pPr>
              <w:spacing w:after="0" w:line="240" w:lineRule="auto"/>
              <w:rPr>
                <w:rFonts w:eastAsia="Times New Roman" w:cs="Times New Roman"/>
                <w:caps/>
                <w:spacing w:val="0"/>
              </w:rPr>
            </w:pPr>
            <w:r w:rsidRPr="00E66260">
              <w:rPr>
                <w:rFonts w:eastAsia="Times New Roman" w:cs="Times New Roman"/>
                <w:caps/>
                <w:spacing w:val="0"/>
              </w:rPr>
              <w:t>NOTICE OF PROPOSED ACTION</w:t>
            </w:r>
          </w:p>
        </w:tc>
        <w:tc>
          <w:tcPr>
            <w:tcW w:w="5873" w:type="dxa"/>
            <w:tcBorders>
              <w:left w:val="single" w:sz="4" w:space="0" w:color="auto"/>
            </w:tcBorders>
          </w:tcPr>
          <w:p w14:paraId="6CAF37E5" w14:textId="77777777" w:rsidR="00AB3800" w:rsidRPr="00B4196F" w:rsidRDefault="00AB3800" w:rsidP="00AB3800">
            <w:pPr>
              <w:spacing w:after="0" w:line="240" w:lineRule="auto"/>
              <w:rPr>
                <w:rFonts w:eastAsia="Times New Roman" w:cs="Times New Roman"/>
                <w:spacing w:val="0"/>
              </w:rPr>
            </w:pPr>
            <w:r w:rsidRPr="00B4196F">
              <w:rPr>
                <w:rFonts w:eastAsia="Times New Roman" w:cs="Times New Roman"/>
                <w:spacing w:val="0"/>
              </w:rPr>
              <w:t>The written notification outlining the specific and detailed reasons for a proposed suitability action against an individual, the individual’s rights, and other information.</w:t>
            </w:r>
          </w:p>
        </w:tc>
      </w:tr>
      <w:tr w:rsidR="00886241" w:rsidRPr="00AB3800" w14:paraId="19E8A73C" w14:textId="77777777" w:rsidTr="36A80A07">
        <w:trPr>
          <w:cantSplit/>
        </w:trPr>
        <w:tc>
          <w:tcPr>
            <w:tcW w:w="3420" w:type="dxa"/>
            <w:tcBorders>
              <w:right w:val="single" w:sz="4" w:space="0" w:color="auto"/>
            </w:tcBorders>
          </w:tcPr>
          <w:p w14:paraId="3AECF6F6" w14:textId="77777777" w:rsidR="00AB3800" w:rsidRPr="00B4196F" w:rsidRDefault="00AB3800" w:rsidP="00AB3800">
            <w:pPr>
              <w:spacing w:after="0" w:line="240" w:lineRule="auto"/>
              <w:rPr>
                <w:rFonts w:eastAsia="Times New Roman" w:cs="Times New Roman"/>
                <w:caps/>
                <w:spacing w:val="0"/>
              </w:rPr>
            </w:pPr>
            <w:r w:rsidRPr="00B4196F">
              <w:rPr>
                <w:rFonts w:eastAsia="Times New Roman" w:cs="Times New Roman"/>
                <w:caps/>
                <w:spacing w:val="0"/>
              </w:rPr>
              <w:t>NOTICE PERIOD</w:t>
            </w:r>
          </w:p>
        </w:tc>
        <w:tc>
          <w:tcPr>
            <w:tcW w:w="5873" w:type="dxa"/>
            <w:tcBorders>
              <w:left w:val="single" w:sz="4" w:space="0" w:color="auto"/>
            </w:tcBorders>
          </w:tcPr>
          <w:p w14:paraId="2FCB00C1" w14:textId="77777777" w:rsidR="00AB3800" w:rsidRPr="00B4196F" w:rsidRDefault="00AB3800" w:rsidP="00AB3800">
            <w:pPr>
              <w:spacing w:after="0" w:line="240" w:lineRule="auto"/>
              <w:rPr>
                <w:rFonts w:eastAsia="Times New Roman" w:cs="Times New Roman"/>
                <w:spacing w:val="0"/>
              </w:rPr>
            </w:pPr>
            <w:r w:rsidRPr="00B4196F">
              <w:rPr>
                <w:rFonts w:eastAsia="Times New Roman" w:cs="Times New Roman"/>
                <w:spacing w:val="0"/>
              </w:rPr>
              <w:t>The numbers of days allowed to answer information relied on before a final determination.</w:t>
            </w:r>
          </w:p>
        </w:tc>
      </w:tr>
      <w:tr w:rsidR="00886241" w:rsidRPr="00AB3800" w14:paraId="0243463C" w14:textId="77777777" w:rsidTr="36A80A07">
        <w:trPr>
          <w:cantSplit/>
        </w:trPr>
        <w:tc>
          <w:tcPr>
            <w:tcW w:w="3420" w:type="dxa"/>
            <w:tcBorders>
              <w:right w:val="single" w:sz="4" w:space="0" w:color="auto"/>
            </w:tcBorders>
          </w:tcPr>
          <w:p w14:paraId="0D646857" w14:textId="77777777" w:rsidR="00AB3800" w:rsidRPr="00B4196F" w:rsidRDefault="00AB3800" w:rsidP="00AB3800">
            <w:pPr>
              <w:spacing w:after="0" w:line="240" w:lineRule="auto"/>
              <w:rPr>
                <w:rFonts w:eastAsia="Times New Roman" w:cs="Times New Roman"/>
                <w:caps/>
                <w:spacing w:val="0"/>
              </w:rPr>
            </w:pPr>
            <w:r w:rsidRPr="00B4196F">
              <w:rPr>
                <w:rFonts w:eastAsia="Times New Roman" w:cs="Times New Roman"/>
                <w:caps/>
                <w:spacing w:val="0"/>
              </w:rPr>
              <w:t>Order of Operations</w:t>
            </w:r>
          </w:p>
        </w:tc>
        <w:tc>
          <w:tcPr>
            <w:tcW w:w="5873" w:type="dxa"/>
            <w:tcBorders>
              <w:left w:val="single" w:sz="4" w:space="0" w:color="auto"/>
            </w:tcBorders>
          </w:tcPr>
          <w:p w14:paraId="60038647" w14:textId="196D48E9" w:rsidR="00AB3800" w:rsidRPr="00B4196F" w:rsidRDefault="00AB3800" w:rsidP="00AB3800">
            <w:pPr>
              <w:spacing w:after="0" w:line="240" w:lineRule="auto"/>
              <w:rPr>
                <w:rFonts w:eastAsia="Times New Roman" w:cs="Times New Roman"/>
                <w:spacing w:val="0"/>
              </w:rPr>
            </w:pPr>
            <w:r w:rsidRPr="00B4196F">
              <w:rPr>
                <w:rFonts w:eastAsia="Times New Roman" w:cs="Times New Roman"/>
                <w:spacing w:val="0"/>
              </w:rPr>
              <w:t xml:space="preserve">The sequence in which trust determinations, as applicable to the position, are made. (See Common Principles in Applying Federal Personnel Vetting Adjudicative Standards). </w:t>
            </w:r>
          </w:p>
        </w:tc>
      </w:tr>
      <w:tr w:rsidR="00886241" w:rsidRPr="00AB3800" w14:paraId="674433A1" w14:textId="77777777" w:rsidTr="36A80A07">
        <w:trPr>
          <w:cantSplit/>
        </w:trPr>
        <w:tc>
          <w:tcPr>
            <w:tcW w:w="3420" w:type="dxa"/>
            <w:tcBorders>
              <w:right w:val="single" w:sz="4" w:space="0" w:color="auto"/>
            </w:tcBorders>
          </w:tcPr>
          <w:p w14:paraId="455F0DA6" w14:textId="77777777" w:rsidR="00AB3800" w:rsidRPr="00B4196F" w:rsidRDefault="00AB3800" w:rsidP="00AB3800">
            <w:pPr>
              <w:spacing w:after="0" w:line="240" w:lineRule="auto"/>
              <w:rPr>
                <w:rFonts w:eastAsia="Times New Roman" w:cs="Times New Roman"/>
                <w:caps/>
                <w:spacing w:val="0"/>
              </w:rPr>
            </w:pPr>
            <w:r w:rsidRPr="00B4196F">
              <w:rPr>
                <w:rFonts w:eastAsia="Times New Roman" w:cs="Times New Roman"/>
                <w:caps/>
                <w:color w:val="000000"/>
                <w:spacing w:val="0"/>
                <w:shd w:val="clear" w:color="auto" w:fill="FFFFFF"/>
              </w:rPr>
              <w:t>Political appointment</w:t>
            </w:r>
          </w:p>
        </w:tc>
        <w:tc>
          <w:tcPr>
            <w:tcW w:w="5873" w:type="dxa"/>
            <w:tcBorders>
              <w:left w:val="single" w:sz="4" w:space="0" w:color="auto"/>
            </w:tcBorders>
          </w:tcPr>
          <w:p w14:paraId="6A9B6A26" w14:textId="3DF70B6F" w:rsidR="00AB3800" w:rsidRPr="00B4196F" w:rsidRDefault="00DA614C" w:rsidP="00AB3800">
            <w:pPr>
              <w:spacing w:after="0" w:line="240" w:lineRule="auto"/>
              <w:rPr>
                <w:rFonts w:eastAsia="Times New Roman" w:cs="Times New Roman"/>
                <w:spacing w:val="0"/>
              </w:rPr>
            </w:pPr>
            <w:r>
              <w:rPr>
                <w:rFonts w:eastAsia="Times New Roman" w:cs="Times New Roman"/>
                <w:color w:val="000000"/>
                <w:spacing w:val="0"/>
              </w:rPr>
              <w:t>A</w:t>
            </w:r>
            <w:r w:rsidR="00AB3800" w:rsidRPr="00B4196F">
              <w:rPr>
                <w:rFonts w:eastAsia="Times New Roman" w:cs="Times New Roman"/>
                <w:color w:val="000000"/>
                <w:spacing w:val="0"/>
              </w:rPr>
              <w:t>n appointment by Presidential nomination for confirmation by the Senate, an appointment by the President without Senate confirmation (except those appointed under 5 C</w:t>
            </w:r>
            <w:r w:rsidR="00B0416F">
              <w:rPr>
                <w:rFonts w:eastAsia="Times New Roman" w:cs="Times New Roman"/>
                <w:color w:val="000000"/>
                <w:spacing w:val="0"/>
              </w:rPr>
              <w:t>.</w:t>
            </w:r>
            <w:r w:rsidR="00AB3800" w:rsidRPr="00B4196F">
              <w:rPr>
                <w:rFonts w:eastAsia="Times New Roman" w:cs="Times New Roman"/>
                <w:color w:val="000000"/>
                <w:spacing w:val="0"/>
              </w:rPr>
              <w:t>F</w:t>
            </w:r>
            <w:r w:rsidR="00B0416F">
              <w:rPr>
                <w:rFonts w:eastAsia="Times New Roman" w:cs="Times New Roman"/>
                <w:color w:val="000000"/>
                <w:spacing w:val="0"/>
              </w:rPr>
              <w:t>.</w:t>
            </w:r>
            <w:r w:rsidR="00AB3800" w:rsidRPr="00B4196F">
              <w:rPr>
                <w:rFonts w:eastAsia="Times New Roman" w:cs="Times New Roman"/>
                <w:color w:val="000000"/>
                <w:spacing w:val="0"/>
              </w:rPr>
              <w:t>R</w:t>
            </w:r>
            <w:r w:rsidR="00B0416F">
              <w:rPr>
                <w:rFonts w:eastAsia="Times New Roman" w:cs="Times New Roman"/>
                <w:color w:val="000000"/>
                <w:spacing w:val="0"/>
              </w:rPr>
              <w:t>.</w:t>
            </w:r>
            <w:r w:rsidR="00AB3800" w:rsidRPr="00B4196F">
              <w:rPr>
                <w:rFonts w:eastAsia="Times New Roman" w:cs="Times New Roman"/>
                <w:color w:val="000000"/>
                <w:spacing w:val="0"/>
              </w:rPr>
              <w:t xml:space="preserve"> </w:t>
            </w:r>
            <w:r w:rsidR="6417BEA3" w:rsidRPr="548D0660">
              <w:rPr>
                <w:rFonts w:eastAsia="Times New Roman" w:cs="Times New Roman"/>
                <w:color w:val="000000" w:themeColor="text1"/>
              </w:rPr>
              <w:t xml:space="preserve">§ </w:t>
            </w:r>
            <w:r w:rsidR="00AB3800" w:rsidRPr="00B4196F">
              <w:rPr>
                <w:rFonts w:eastAsia="Times New Roman" w:cs="Times New Roman"/>
                <w:color w:val="000000"/>
                <w:spacing w:val="0"/>
              </w:rPr>
              <w:t xml:space="preserve">213.3102(c)); an appointment to a position compensated under the Executive Schedule (5 U.S.C. </w:t>
            </w:r>
            <w:r w:rsidR="00B0416F" w:rsidRPr="003F71CB">
              <w:t xml:space="preserve">§ </w:t>
            </w:r>
            <w:r w:rsidR="00AB3800" w:rsidRPr="00B4196F">
              <w:rPr>
                <w:rFonts w:eastAsia="Times New Roman" w:cs="Times New Roman"/>
                <w:color w:val="000000"/>
                <w:spacing w:val="0"/>
              </w:rPr>
              <w:t>5312 through 5316); an appointment of a White House Fellow to be assigned as an assistant to a top-level Federal officer (5 C</w:t>
            </w:r>
            <w:r w:rsidR="00B0416F">
              <w:rPr>
                <w:rFonts w:eastAsia="Times New Roman" w:cs="Times New Roman"/>
                <w:color w:val="000000"/>
                <w:spacing w:val="0"/>
              </w:rPr>
              <w:t>.</w:t>
            </w:r>
            <w:r w:rsidR="00AB3800" w:rsidRPr="00B4196F">
              <w:rPr>
                <w:rFonts w:eastAsia="Times New Roman" w:cs="Times New Roman"/>
                <w:color w:val="000000"/>
                <w:spacing w:val="0"/>
              </w:rPr>
              <w:t>F</w:t>
            </w:r>
            <w:r w:rsidR="00B0416F">
              <w:rPr>
                <w:rFonts w:eastAsia="Times New Roman" w:cs="Times New Roman"/>
                <w:color w:val="000000"/>
                <w:spacing w:val="0"/>
              </w:rPr>
              <w:t>.</w:t>
            </w:r>
            <w:r w:rsidR="00AB3800" w:rsidRPr="00B4196F">
              <w:rPr>
                <w:rFonts w:eastAsia="Times New Roman" w:cs="Times New Roman"/>
                <w:color w:val="000000"/>
                <w:spacing w:val="0"/>
              </w:rPr>
              <w:t>R</w:t>
            </w:r>
            <w:r w:rsidR="00B0416F">
              <w:rPr>
                <w:rFonts w:eastAsia="Times New Roman" w:cs="Times New Roman"/>
                <w:color w:val="000000"/>
                <w:spacing w:val="0"/>
              </w:rPr>
              <w:t>.</w:t>
            </w:r>
            <w:r w:rsidR="00AB3800" w:rsidRPr="00B4196F">
              <w:rPr>
                <w:rFonts w:eastAsia="Times New Roman" w:cs="Times New Roman"/>
                <w:color w:val="000000"/>
                <w:spacing w:val="0"/>
              </w:rPr>
              <w:t xml:space="preserve"> </w:t>
            </w:r>
            <w:r w:rsidR="06D57A9A" w:rsidRPr="548D0660">
              <w:rPr>
                <w:rFonts w:eastAsia="Times New Roman" w:cs="Times New Roman"/>
                <w:color w:val="000000" w:themeColor="text1"/>
              </w:rPr>
              <w:t>§</w:t>
            </w:r>
            <w:r w:rsidR="00AB3800" w:rsidRPr="00B4196F">
              <w:rPr>
                <w:rFonts w:eastAsia="Times New Roman" w:cs="Times New Roman"/>
                <w:color w:val="000000"/>
                <w:spacing w:val="0"/>
              </w:rPr>
              <w:t xml:space="preserve"> 213.3102(z)); a Schedule C appointment (5 C</w:t>
            </w:r>
            <w:r w:rsidR="00B0416F">
              <w:rPr>
                <w:rFonts w:eastAsia="Times New Roman" w:cs="Times New Roman"/>
                <w:color w:val="000000"/>
                <w:spacing w:val="0"/>
              </w:rPr>
              <w:t>.</w:t>
            </w:r>
            <w:r w:rsidR="00AB3800" w:rsidRPr="00B4196F">
              <w:rPr>
                <w:rFonts w:eastAsia="Times New Roman" w:cs="Times New Roman"/>
                <w:color w:val="000000"/>
                <w:spacing w:val="0"/>
              </w:rPr>
              <w:t>F</w:t>
            </w:r>
            <w:r w:rsidR="00B0416F">
              <w:rPr>
                <w:rFonts w:eastAsia="Times New Roman" w:cs="Times New Roman"/>
                <w:color w:val="000000"/>
                <w:spacing w:val="0"/>
              </w:rPr>
              <w:t>.</w:t>
            </w:r>
            <w:r w:rsidR="00AB3800" w:rsidRPr="00B4196F">
              <w:rPr>
                <w:rFonts w:eastAsia="Times New Roman" w:cs="Times New Roman"/>
                <w:color w:val="000000"/>
                <w:spacing w:val="0"/>
              </w:rPr>
              <w:t>R</w:t>
            </w:r>
            <w:r w:rsidR="00B0416F">
              <w:rPr>
                <w:rFonts w:eastAsia="Times New Roman" w:cs="Times New Roman"/>
                <w:color w:val="000000"/>
                <w:spacing w:val="0"/>
              </w:rPr>
              <w:t>.</w:t>
            </w:r>
            <w:r w:rsidR="00AB3800" w:rsidRPr="00B4196F">
              <w:rPr>
                <w:rFonts w:eastAsia="Times New Roman" w:cs="Times New Roman"/>
                <w:color w:val="000000"/>
                <w:spacing w:val="0"/>
              </w:rPr>
              <w:t xml:space="preserve"> </w:t>
            </w:r>
            <w:r w:rsidR="03632D5C" w:rsidRPr="548D0660">
              <w:rPr>
                <w:rFonts w:eastAsia="Times New Roman" w:cs="Times New Roman"/>
                <w:color w:val="000000" w:themeColor="text1"/>
              </w:rPr>
              <w:t xml:space="preserve">§ </w:t>
            </w:r>
            <w:r w:rsidR="00AB3800" w:rsidRPr="00B4196F">
              <w:rPr>
                <w:rFonts w:eastAsia="Times New Roman" w:cs="Times New Roman"/>
                <w:color w:val="000000"/>
                <w:spacing w:val="0"/>
              </w:rPr>
              <w:t>213.3301, 213.3302); a noncareer, limited term, or limited emergency Senior Executive Service appointment (5 C</w:t>
            </w:r>
            <w:r w:rsidR="00B0416F">
              <w:rPr>
                <w:rFonts w:eastAsia="Times New Roman" w:cs="Times New Roman"/>
                <w:color w:val="000000"/>
                <w:spacing w:val="0"/>
              </w:rPr>
              <w:t>.</w:t>
            </w:r>
            <w:r w:rsidR="00AB3800" w:rsidRPr="00B4196F">
              <w:rPr>
                <w:rFonts w:eastAsia="Times New Roman" w:cs="Times New Roman"/>
                <w:color w:val="000000"/>
                <w:spacing w:val="0"/>
              </w:rPr>
              <w:t>F</w:t>
            </w:r>
            <w:r w:rsidR="00B0416F">
              <w:rPr>
                <w:rFonts w:eastAsia="Times New Roman" w:cs="Times New Roman"/>
                <w:color w:val="000000"/>
                <w:spacing w:val="0"/>
              </w:rPr>
              <w:t>.</w:t>
            </w:r>
            <w:r w:rsidR="00AB3800" w:rsidRPr="00B4196F">
              <w:rPr>
                <w:rFonts w:eastAsia="Times New Roman" w:cs="Times New Roman"/>
                <w:color w:val="000000"/>
                <w:spacing w:val="0"/>
              </w:rPr>
              <w:t>R</w:t>
            </w:r>
            <w:r w:rsidR="00B0416F">
              <w:rPr>
                <w:rFonts w:eastAsia="Times New Roman" w:cs="Times New Roman"/>
                <w:color w:val="000000"/>
                <w:spacing w:val="0"/>
              </w:rPr>
              <w:t>.</w:t>
            </w:r>
            <w:r w:rsidR="00AB3800" w:rsidRPr="00B4196F">
              <w:rPr>
                <w:rFonts w:eastAsia="Times New Roman" w:cs="Times New Roman"/>
                <w:color w:val="000000"/>
                <w:spacing w:val="0"/>
              </w:rPr>
              <w:t xml:space="preserve"> part 317, subpart F); an appointee to serve in a political capacity under agency-specific authority; and a provisional political appointment. </w:t>
            </w:r>
          </w:p>
        </w:tc>
      </w:tr>
      <w:tr w:rsidR="00886241" w:rsidRPr="00AB3800" w14:paraId="084C3EA1" w14:textId="77777777" w:rsidTr="36A80A07">
        <w:trPr>
          <w:cantSplit/>
        </w:trPr>
        <w:tc>
          <w:tcPr>
            <w:tcW w:w="3420" w:type="dxa"/>
            <w:tcBorders>
              <w:right w:val="single" w:sz="4" w:space="0" w:color="auto"/>
            </w:tcBorders>
          </w:tcPr>
          <w:p w14:paraId="3E7DA30C" w14:textId="77777777" w:rsidR="00AB3800" w:rsidRPr="00B4196F" w:rsidRDefault="00AB3800" w:rsidP="00AB3800">
            <w:pPr>
              <w:spacing w:after="0" w:line="240" w:lineRule="auto"/>
              <w:rPr>
                <w:rFonts w:eastAsia="Times New Roman" w:cs="Times New Roman"/>
                <w:caps/>
                <w:spacing w:val="0"/>
              </w:rPr>
            </w:pPr>
            <w:r w:rsidRPr="00B4196F">
              <w:rPr>
                <w:rFonts w:eastAsia="Times New Roman" w:cs="Times New Roman"/>
                <w:caps/>
                <w:spacing w:val="0"/>
              </w:rPr>
              <w:t>PUBLIC TRUST</w:t>
            </w:r>
          </w:p>
        </w:tc>
        <w:tc>
          <w:tcPr>
            <w:tcW w:w="5873" w:type="dxa"/>
            <w:tcBorders>
              <w:left w:val="single" w:sz="4" w:space="0" w:color="auto"/>
            </w:tcBorders>
          </w:tcPr>
          <w:p w14:paraId="74E4CAFD" w14:textId="76D196E9" w:rsidR="00AB3800" w:rsidRPr="00B4196F" w:rsidRDefault="00AB3800" w:rsidP="00AB3800">
            <w:pPr>
              <w:spacing w:after="0" w:line="240" w:lineRule="auto"/>
              <w:rPr>
                <w:rFonts w:eastAsia="Times New Roman" w:cs="Times New Roman"/>
                <w:spacing w:val="0"/>
              </w:rPr>
            </w:pPr>
            <w:r w:rsidRPr="00B4196F">
              <w:rPr>
                <w:rFonts w:eastAsia="Times New Roman" w:cs="Times New Roman"/>
                <w:spacing w:val="0"/>
              </w:rPr>
              <w:t>The category of positions, at the moderate or high</w:t>
            </w:r>
            <w:r w:rsidR="007D7D90" w:rsidRPr="00B4196F">
              <w:rPr>
                <w:rFonts w:eastAsia="Times New Roman" w:cs="Times New Roman"/>
                <w:spacing w:val="0"/>
              </w:rPr>
              <w:t>-risk</w:t>
            </w:r>
            <w:r w:rsidRPr="00B4196F">
              <w:rPr>
                <w:rFonts w:eastAsia="Times New Roman" w:cs="Times New Roman"/>
                <w:spacing w:val="0"/>
              </w:rPr>
              <w:t xml:space="preserve"> levels involving a significant degree of public trust (such as policy making or major program responsibilities, fiduciary responsibility, law enforcement positions, public safety and health duties).</w:t>
            </w:r>
          </w:p>
        </w:tc>
      </w:tr>
      <w:tr w:rsidR="00886241" w:rsidRPr="00AB3800" w14:paraId="73FEFC0A" w14:textId="77777777" w:rsidTr="36A80A07">
        <w:trPr>
          <w:cantSplit/>
        </w:trPr>
        <w:tc>
          <w:tcPr>
            <w:tcW w:w="3420" w:type="dxa"/>
            <w:tcBorders>
              <w:right w:val="single" w:sz="4" w:space="0" w:color="auto"/>
            </w:tcBorders>
          </w:tcPr>
          <w:p w14:paraId="30A0F22F" w14:textId="77777777" w:rsidR="00AB3800" w:rsidRPr="00133457" w:rsidRDefault="00AB3800" w:rsidP="00AB3800">
            <w:pPr>
              <w:spacing w:after="0" w:line="240" w:lineRule="auto"/>
              <w:rPr>
                <w:rFonts w:eastAsia="Times New Roman" w:cs="Times New Roman"/>
                <w:caps/>
                <w:spacing w:val="0"/>
              </w:rPr>
            </w:pPr>
            <w:r w:rsidRPr="00133457">
              <w:rPr>
                <w:rFonts w:eastAsia="Times New Roman" w:cs="Times New Roman"/>
                <w:caps/>
                <w:spacing w:val="0"/>
              </w:rPr>
              <w:t>Re-establishment of Trust</w:t>
            </w:r>
          </w:p>
        </w:tc>
        <w:tc>
          <w:tcPr>
            <w:tcW w:w="5873" w:type="dxa"/>
            <w:tcBorders>
              <w:left w:val="single" w:sz="4" w:space="0" w:color="auto"/>
            </w:tcBorders>
          </w:tcPr>
          <w:p w14:paraId="2977CCF8" w14:textId="28B65B19" w:rsidR="00AB3800" w:rsidRPr="00133457" w:rsidRDefault="00AB3800" w:rsidP="00AB3800">
            <w:pPr>
              <w:spacing w:after="0" w:line="240" w:lineRule="auto"/>
              <w:rPr>
                <w:rFonts w:eastAsia="Times New Roman" w:cs="Times New Roman"/>
                <w:spacing w:val="0"/>
              </w:rPr>
            </w:pPr>
            <w:r w:rsidRPr="00133457">
              <w:rPr>
                <w:rFonts w:eastAsia="Times New Roman" w:cs="Times New Roman"/>
                <w:spacing w:val="0"/>
              </w:rPr>
              <w:t xml:space="preserve">Occurs after a break in service. In accordance with policy and guidance, an agency will determine the appropriate level of vetting. </w:t>
            </w:r>
            <w:r w:rsidRPr="00133457">
              <w:rPr>
                <w:rFonts w:eastAsia="Times New Roman" w:cs="Times New Roman"/>
                <w:color w:val="000000"/>
                <w:spacing w:val="0"/>
              </w:rPr>
              <w:t>(See Federal Personnel Vetting Guidelines and Federal Personnel Vetting Investigative Standards and implementing guidance.)</w:t>
            </w:r>
          </w:p>
        </w:tc>
      </w:tr>
      <w:tr w:rsidR="00886241" w:rsidRPr="00AB3800" w14:paraId="45516204" w14:textId="77777777" w:rsidTr="36A80A07">
        <w:trPr>
          <w:cantSplit/>
        </w:trPr>
        <w:tc>
          <w:tcPr>
            <w:tcW w:w="3420" w:type="dxa"/>
            <w:tcBorders>
              <w:right w:val="single" w:sz="4" w:space="0" w:color="auto"/>
            </w:tcBorders>
          </w:tcPr>
          <w:p w14:paraId="18180372" w14:textId="77777777" w:rsidR="00AB3800" w:rsidRPr="00133457" w:rsidRDefault="00AB3800" w:rsidP="00AB3800">
            <w:pPr>
              <w:spacing w:after="0" w:line="240" w:lineRule="auto"/>
              <w:rPr>
                <w:rFonts w:eastAsia="Times New Roman" w:cs="Times New Roman"/>
                <w:caps/>
                <w:spacing w:val="0"/>
              </w:rPr>
            </w:pPr>
            <w:r w:rsidRPr="00133457">
              <w:rPr>
                <w:rFonts w:eastAsia="Times New Roman" w:cs="Times New Roman"/>
                <w:caps/>
                <w:spacing w:val="0"/>
              </w:rPr>
              <w:lastRenderedPageBreak/>
              <w:t>RISK DESIGNATION</w:t>
            </w:r>
          </w:p>
        </w:tc>
        <w:tc>
          <w:tcPr>
            <w:tcW w:w="5873" w:type="dxa"/>
            <w:tcBorders>
              <w:left w:val="single" w:sz="4" w:space="0" w:color="auto"/>
            </w:tcBorders>
          </w:tcPr>
          <w:p w14:paraId="6C48F0F9" w14:textId="400E3C18" w:rsidR="00AB3800" w:rsidRPr="00133457" w:rsidRDefault="00AB3800" w:rsidP="00AB3800">
            <w:pPr>
              <w:spacing w:after="0" w:line="240" w:lineRule="auto"/>
              <w:rPr>
                <w:rFonts w:eastAsia="Times New Roman" w:cs="Times New Roman"/>
                <w:spacing w:val="0"/>
              </w:rPr>
            </w:pPr>
            <w:r w:rsidRPr="00133457">
              <w:rPr>
                <w:rFonts w:eastAsia="Times New Roman" w:cs="Times New Roman"/>
                <w:spacing w:val="0"/>
              </w:rPr>
              <w:t>An assessment (L</w:t>
            </w:r>
            <w:r w:rsidR="004A19E9" w:rsidRPr="00133457">
              <w:rPr>
                <w:rFonts w:eastAsia="Times New Roman" w:cs="Times New Roman"/>
                <w:spacing w:val="0"/>
              </w:rPr>
              <w:t>ow</w:t>
            </w:r>
            <w:r w:rsidRPr="00133457">
              <w:rPr>
                <w:rFonts w:eastAsia="Times New Roman" w:cs="Times New Roman"/>
                <w:spacing w:val="0"/>
              </w:rPr>
              <w:t>, M</w:t>
            </w:r>
            <w:r w:rsidR="004A19E9" w:rsidRPr="00133457">
              <w:rPr>
                <w:rFonts w:eastAsia="Times New Roman" w:cs="Times New Roman"/>
                <w:spacing w:val="0"/>
              </w:rPr>
              <w:t>oderate</w:t>
            </w:r>
            <w:r w:rsidRPr="00133457">
              <w:rPr>
                <w:rFonts w:eastAsia="Times New Roman" w:cs="Times New Roman"/>
                <w:spacing w:val="0"/>
              </w:rPr>
              <w:t>, or H</w:t>
            </w:r>
            <w:r w:rsidR="004A19E9" w:rsidRPr="00133457">
              <w:rPr>
                <w:rFonts w:eastAsia="Times New Roman" w:cs="Times New Roman"/>
                <w:spacing w:val="0"/>
              </w:rPr>
              <w:t>igh</w:t>
            </w:r>
            <w:r w:rsidRPr="00133457">
              <w:rPr>
                <w:rFonts w:eastAsia="Times New Roman" w:cs="Times New Roman"/>
                <w:spacing w:val="0"/>
              </w:rPr>
              <w:t>) of a position to determine its potential for adverse impact to the integrity or efficiency of the service, its effect on the agency or on the agency’s mission.</w:t>
            </w:r>
          </w:p>
        </w:tc>
      </w:tr>
      <w:tr w:rsidR="00886241" w:rsidRPr="00AB3800" w14:paraId="78E19C58" w14:textId="77777777" w:rsidTr="36A80A07">
        <w:trPr>
          <w:cantSplit/>
        </w:trPr>
        <w:tc>
          <w:tcPr>
            <w:tcW w:w="3420" w:type="dxa"/>
            <w:tcBorders>
              <w:right w:val="single" w:sz="4" w:space="0" w:color="auto"/>
            </w:tcBorders>
          </w:tcPr>
          <w:p w14:paraId="1FF21D08" w14:textId="77777777" w:rsidR="00AB3800" w:rsidRPr="001809C8" w:rsidRDefault="00AB3800" w:rsidP="00AB3800">
            <w:pPr>
              <w:spacing w:after="0" w:line="240" w:lineRule="auto"/>
              <w:rPr>
                <w:rFonts w:eastAsia="Times New Roman" w:cs="Times New Roman"/>
                <w:caps/>
                <w:spacing w:val="0"/>
              </w:rPr>
            </w:pPr>
            <w:r w:rsidRPr="00A8176A">
              <w:rPr>
                <w:rFonts w:eastAsia="Times New Roman" w:cs="Times New Roman"/>
                <w:caps/>
                <w:spacing w:val="0"/>
              </w:rPr>
              <w:t>SENSITIVITY</w:t>
            </w:r>
          </w:p>
        </w:tc>
        <w:tc>
          <w:tcPr>
            <w:tcW w:w="5873" w:type="dxa"/>
            <w:tcBorders>
              <w:left w:val="single" w:sz="4" w:space="0" w:color="auto"/>
            </w:tcBorders>
          </w:tcPr>
          <w:p w14:paraId="26507D3F" w14:textId="3640F4C4" w:rsidR="00AB3800" w:rsidRPr="001809C8" w:rsidRDefault="00AB3800" w:rsidP="00AB3800">
            <w:pPr>
              <w:spacing w:after="0" w:line="240" w:lineRule="auto"/>
              <w:rPr>
                <w:rFonts w:eastAsia="Times New Roman" w:cs="Times New Roman"/>
                <w:spacing w:val="0"/>
              </w:rPr>
            </w:pPr>
            <w:r w:rsidRPr="001809C8">
              <w:rPr>
                <w:rFonts w:eastAsia="Times New Roman" w:cs="Times New Roman"/>
                <w:spacing w:val="0"/>
              </w:rPr>
              <w:t xml:space="preserve">A position assessment designation indicating the degree of damage an individual in the position could </w:t>
            </w:r>
            <w:r w:rsidR="00971793" w:rsidRPr="001809C8">
              <w:rPr>
                <w:rFonts w:eastAsia="Times New Roman" w:cs="Times New Roman"/>
                <w:spacing w:val="0"/>
              </w:rPr>
              <w:t>a</w:t>
            </w:r>
            <w:r w:rsidRPr="001809C8">
              <w:rPr>
                <w:rFonts w:eastAsia="Times New Roman" w:cs="Times New Roman"/>
                <w:spacing w:val="0"/>
              </w:rPr>
              <w:t>ffect to the National Security.</w:t>
            </w:r>
          </w:p>
        </w:tc>
      </w:tr>
      <w:tr w:rsidR="00886241" w:rsidRPr="00AB3800" w14:paraId="65B934DB" w14:textId="77777777" w:rsidTr="36A80A07">
        <w:trPr>
          <w:cantSplit/>
        </w:trPr>
        <w:tc>
          <w:tcPr>
            <w:tcW w:w="3420" w:type="dxa"/>
            <w:tcBorders>
              <w:right w:val="single" w:sz="4" w:space="0" w:color="auto"/>
            </w:tcBorders>
          </w:tcPr>
          <w:p w14:paraId="02A4E16B" w14:textId="77777777" w:rsidR="00AB3800" w:rsidRPr="00BE6D21" w:rsidRDefault="00AB3800" w:rsidP="00AB3800">
            <w:pPr>
              <w:spacing w:after="0" w:line="240" w:lineRule="auto"/>
              <w:rPr>
                <w:rFonts w:eastAsia="Times New Roman" w:cs="Times New Roman"/>
                <w:caps/>
                <w:spacing w:val="0"/>
              </w:rPr>
            </w:pPr>
            <w:r w:rsidRPr="001809C8">
              <w:rPr>
                <w:rFonts w:eastAsia="Times New Roman" w:cs="Times New Roman"/>
                <w:caps/>
                <w:spacing w:val="0"/>
              </w:rPr>
              <w:t>SUITABILITY</w:t>
            </w:r>
          </w:p>
        </w:tc>
        <w:tc>
          <w:tcPr>
            <w:tcW w:w="5873" w:type="dxa"/>
            <w:tcBorders>
              <w:left w:val="single" w:sz="4" w:space="0" w:color="auto"/>
            </w:tcBorders>
          </w:tcPr>
          <w:p w14:paraId="0A687E12" w14:textId="77777777" w:rsidR="00AB3800" w:rsidRPr="00BE6D21" w:rsidRDefault="00AB3800" w:rsidP="00AB3800">
            <w:pPr>
              <w:spacing w:after="0" w:line="240" w:lineRule="auto"/>
              <w:rPr>
                <w:rFonts w:eastAsia="Times New Roman" w:cs="Times New Roman"/>
                <w:spacing w:val="0"/>
              </w:rPr>
            </w:pPr>
            <w:r w:rsidRPr="00BE6D21">
              <w:rPr>
                <w:rFonts w:eastAsia="Times New Roman" w:cs="Times New Roman"/>
                <w:spacing w:val="0"/>
              </w:rPr>
              <w:t>A person’s identifiable character traits and conduct sufficient to decide whether an individual’s employment or continued employment would or would not protect the integrity or promote the efficiency of the service.</w:t>
            </w:r>
          </w:p>
        </w:tc>
      </w:tr>
      <w:tr w:rsidR="00886241" w:rsidRPr="00AB3800" w14:paraId="4521208B" w14:textId="77777777" w:rsidTr="36A80A07">
        <w:trPr>
          <w:cantSplit/>
        </w:trPr>
        <w:tc>
          <w:tcPr>
            <w:tcW w:w="3420" w:type="dxa"/>
            <w:tcBorders>
              <w:right w:val="single" w:sz="4" w:space="0" w:color="auto"/>
            </w:tcBorders>
          </w:tcPr>
          <w:p w14:paraId="0D2DAEDD" w14:textId="77777777" w:rsidR="00AB3800" w:rsidRPr="003527FE" w:rsidRDefault="00AB3800" w:rsidP="00AB3800">
            <w:pPr>
              <w:spacing w:after="0" w:line="240" w:lineRule="auto"/>
              <w:rPr>
                <w:rFonts w:eastAsia="Times New Roman" w:cs="Times New Roman"/>
                <w:caps/>
                <w:spacing w:val="0"/>
              </w:rPr>
            </w:pPr>
            <w:r w:rsidRPr="003527FE">
              <w:rPr>
                <w:rFonts w:eastAsia="Times New Roman" w:cs="Times New Roman"/>
                <w:caps/>
                <w:spacing w:val="0"/>
              </w:rPr>
              <w:t>SUITABILITY ACTION</w:t>
            </w:r>
          </w:p>
        </w:tc>
        <w:tc>
          <w:tcPr>
            <w:tcW w:w="5873" w:type="dxa"/>
            <w:tcBorders>
              <w:left w:val="single" w:sz="4" w:space="0" w:color="auto"/>
            </w:tcBorders>
          </w:tcPr>
          <w:p w14:paraId="2C99FB66" w14:textId="455B9CB8" w:rsidR="00AB3800" w:rsidRPr="003527FE" w:rsidRDefault="004A19E9" w:rsidP="004A19E9">
            <w:pPr>
              <w:shd w:val="clear" w:color="auto" w:fill="FFFFFF"/>
              <w:spacing w:after="0" w:line="240" w:lineRule="auto"/>
              <w:textAlignment w:val="baseline"/>
              <w:rPr>
                <w:rFonts w:eastAsia="Times New Roman" w:cs="Segoe UI"/>
                <w:spacing w:val="0"/>
              </w:rPr>
            </w:pPr>
            <w:r w:rsidRPr="003527FE">
              <w:rPr>
                <w:rFonts w:eastAsia="Times New Roman" w:cs="Times New Roman"/>
                <w:color w:val="000000"/>
                <w:spacing w:val="0"/>
              </w:rPr>
              <w:t>O</w:t>
            </w:r>
            <w:r w:rsidR="00AB3800" w:rsidRPr="003527FE">
              <w:rPr>
                <w:rFonts w:eastAsia="Times New Roman" w:cs="Times New Roman"/>
                <w:color w:val="000000"/>
                <w:spacing w:val="0"/>
              </w:rPr>
              <w:t>ne or more of the following outcomes: </w:t>
            </w:r>
          </w:p>
          <w:p w14:paraId="2A4E4ADA" w14:textId="77777777" w:rsidR="00AB3800" w:rsidRPr="003527FE" w:rsidRDefault="00AB3800" w:rsidP="003527FE">
            <w:pPr>
              <w:shd w:val="clear" w:color="auto" w:fill="FFFFFF"/>
              <w:spacing w:after="0" w:line="240" w:lineRule="auto"/>
              <w:ind w:left="135"/>
              <w:textAlignment w:val="baseline"/>
              <w:rPr>
                <w:rFonts w:eastAsia="Times New Roman" w:cs="Segoe UI"/>
                <w:spacing w:val="0"/>
              </w:rPr>
            </w:pPr>
            <w:r w:rsidRPr="003527FE">
              <w:rPr>
                <w:rFonts w:eastAsia="Times New Roman" w:cs="Times New Roman"/>
                <w:color w:val="000000"/>
                <w:spacing w:val="0"/>
              </w:rPr>
              <w:t>(1) Cancellation of eligibility; </w:t>
            </w:r>
          </w:p>
          <w:p w14:paraId="189A5C06" w14:textId="77777777" w:rsidR="00AB3800" w:rsidRPr="003527FE" w:rsidRDefault="00AB3800" w:rsidP="003527FE">
            <w:pPr>
              <w:shd w:val="clear" w:color="auto" w:fill="FFFFFF"/>
              <w:spacing w:after="0" w:line="240" w:lineRule="auto"/>
              <w:ind w:left="135"/>
              <w:textAlignment w:val="baseline"/>
              <w:rPr>
                <w:rFonts w:eastAsia="Times New Roman" w:cs="Segoe UI"/>
                <w:spacing w:val="0"/>
              </w:rPr>
            </w:pPr>
            <w:r w:rsidRPr="003527FE">
              <w:rPr>
                <w:rFonts w:eastAsia="Times New Roman" w:cs="Times New Roman"/>
                <w:color w:val="000000"/>
                <w:spacing w:val="0"/>
              </w:rPr>
              <w:t>(2) Removal; </w:t>
            </w:r>
          </w:p>
          <w:p w14:paraId="74C908F3" w14:textId="77777777" w:rsidR="00AB3800" w:rsidRPr="003527FE" w:rsidRDefault="00AB3800" w:rsidP="003527FE">
            <w:pPr>
              <w:shd w:val="clear" w:color="auto" w:fill="FFFFFF"/>
              <w:spacing w:after="0" w:line="240" w:lineRule="auto"/>
              <w:ind w:left="135"/>
              <w:textAlignment w:val="baseline"/>
              <w:rPr>
                <w:rFonts w:eastAsia="Times New Roman" w:cs="Segoe UI"/>
                <w:spacing w:val="0"/>
              </w:rPr>
            </w:pPr>
            <w:r w:rsidRPr="003527FE">
              <w:rPr>
                <w:rFonts w:eastAsia="Times New Roman" w:cs="Times New Roman"/>
                <w:color w:val="000000"/>
                <w:spacing w:val="0"/>
              </w:rPr>
              <w:t>(3) Cancellation of reinstatement eligibility; and </w:t>
            </w:r>
          </w:p>
          <w:p w14:paraId="6549391E" w14:textId="22F435D2" w:rsidR="00AB3800" w:rsidRPr="003527FE" w:rsidRDefault="00AB3800" w:rsidP="003527FE">
            <w:pPr>
              <w:shd w:val="clear" w:color="auto" w:fill="FFFFFF"/>
              <w:spacing w:after="0" w:line="240" w:lineRule="auto"/>
              <w:ind w:left="135"/>
              <w:textAlignment w:val="baseline"/>
              <w:rPr>
                <w:rFonts w:eastAsia="Times New Roman" w:cs="Segoe UI"/>
                <w:spacing w:val="0"/>
              </w:rPr>
            </w:pPr>
            <w:r w:rsidRPr="003527FE">
              <w:rPr>
                <w:rFonts w:eastAsia="Times New Roman" w:cs="Times New Roman"/>
                <w:color w:val="000000"/>
                <w:spacing w:val="0"/>
              </w:rPr>
              <w:t>(4) Debarment. </w:t>
            </w:r>
          </w:p>
        </w:tc>
      </w:tr>
      <w:tr w:rsidR="00886241" w:rsidRPr="00AB3800" w14:paraId="6D27CB2F" w14:textId="77777777" w:rsidTr="36A80A07">
        <w:trPr>
          <w:cantSplit/>
        </w:trPr>
        <w:tc>
          <w:tcPr>
            <w:tcW w:w="3420" w:type="dxa"/>
            <w:tcBorders>
              <w:right w:val="single" w:sz="4" w:space="0" w:color="auto"/>
            </w:tcBorders>
          </w:tcPr>
          <w:p w14:paraId="22EA5CE0" w14:textId="77777777" w:rsidR="00AB3800" w:rsidRPr="003527FE" w:rsidRDefault="00AB3800" w:rsidP="00AB3800">
            <w:pPr>
              <w:spacing w:after="0" w:line="240" w:lineRule="auto"/>
              <w:rPr>
                <w:rFonts w:eastAsia="Times New Roman" w:cs="Times New Roman"/>
                <w:caps/>
                <w:spacing w:val="0"/>
              </w:rPr>
            </w:pPr>
            <w:r w:rsidRPr="003527FE">
              <w:rPr>
                <w:rFonts w:eastAsia="Times New Roman" w:cs="Times New Roman"/>
                <w:caps/>
                <w:spacing w:val="0"/>
              </w:rPr>
              <w:t>SUITABILITY DETERMINATION</w:t>
            </w:r>
          </w:p>
        </w:tc>
        <w:tc>
          <w:tcPr>
            <w:tcW w:w="5873" w:type="dxa"/>
            <w:tcBorders>
              <w:left w:val="single" w:sz="4" w:space="0" w:color="auto"/>
            </w:tcBorders>
          </w:tcPr>
          <w:p w14:paraId="13F9B1D4" w14:textId="4D715BD9" w:rsidR="00AB3800" w:rsidRPr="003527FE" w:rsidRDefault="004A19E9" w:rsidP="00AB3800">
            <w:pPr>
              <w:spacing w:after="0" w:line="240" w:lineRule="auto"/>
              <w:rPr>
                <w:rFonts w:eastAsia="Times New Roman" w:cs="Times New Roman"/>
                <w:spacing w:val="0"/>
              </w:rPr>
            </w:pPr>
            <w:r w:rsidRPr="003527FE">
              <w:rPr>
                <w:rFonts w:eastAsia="Times New Roman" w:cs="Times New Roman"/>
                <w:color w:val="000000"/>
                <w:spacing w:val="0"/>
              </w:rPr>
              <w:t>A</w:t>
            </w:r>
            <w:r w:rsidR="00AB3800" w:rsidRPr="003527FE">
              <w:rPr>
                <w:rFonts w:eastAsia="Times New Roman" w:cs="Times New Roman"/>
                <w:color w:val="000000"/>
                <w:spacing w:val="0"/>
              </w:rPr>
              <w:t xml:space="preserve"> decision by OPM or an agency with delegated authority that an individual is suitable or is not suitable for employment in the competitive service or career Senior Executive Service in the Federal Government or a specific Federal agency. A suitability determination is based on whether an individual’s character or conduct may have an adverse impact on the integrity or efficiency of the service.</w:t>
            </w:r>
          </w:p>
        </w:tc>
      </w:tr>
      <w:tr w:rsidR="00886241" w:rsidRPr="00AB3800" w14:paraId="33C61637" w14:textId="77777777" w:rsidTr="36A80A07">
        <w:trPr>
          <w:cantSplit/>
        </w:trPr>
        <w:tc>
          <w:tcPr>
            <w:tcW w:w="3420" w:type="dxa"/>
            <w:tcBorders>
              <w:right w:val="single" w:sz="4" w:space="0" w:color="auto"/>
            </w:tcBorders>
          </w:tcPr>
          <w:p w14:paraId="2AAABA9E" w14:textId="77777777" w:rsidR="00AB3800" w:rsidRPr="003527FE" w:rsidRDefault="00AB3800" w:rsidP="00AB3800">
            <w:pPr>
              <w:spacing w:after="0" w:line="240" w:lineRule="auto"/>
              <w:rPr>
                <w:rFonts w:eastAsia="Times New Roman" w:cs="Times New Roman"/>
                <w:caps/>
                <w:spacing w:val="0"/>
              </w:rPr>
            </w:pPr>
            <w:r w:rsidRPr="003527FE">
              <w:rPr>
                <w:rFonts w:eastAsia="Times New Roman" w:cs="Times New Roman"/>
                <w:caps/>
                <w:spacing w:val="0"/>
              </w:rPr>
              <w:t>TRANSFER OF TRUST</w:t>
            </w:r>
          </w:p>
        </w:tc>
        <w:tc>
          <w:tcPr>
            <w:tcW w:w="5873" w:type="dxa"/>
            <w:tcBorders>
              <w:left w:val="single" w:sz="4" w:space="0" w:color="auto"/>
            </w:tcBorders>
          </w:tcPr>
          <w:p w14:paraId="72C612A4" w14:textId="73B5479C" w:rsidR="00AB3800" w:rsidRPr="003527FE" w:rsidRDefault="00AB3800" w:rsidP="00AB3800">
            <w:pPr>
              <w:spacing w:after="0" w:line="240" w:lineRule="auto"/>
              <w:rPr>
                <w:rFonts w:eastAsia="Times New Roman" w:cs="Times New Roman"/>
                <w:color w:val="000000"/>
                <w:spacing w:val="0"/>
              </w:rPr>
            </w:pPr>
            <w:r w:rsidRPr="003527FE">
              <w:rPr>
                <w:rFonts w:eastAsia="Times New Roman" w:cs="Times New Roman"/>
                <w:color w:val="000000"/>
                <w:spacing w:val="0"/>
              </w:rPr>
              <w:t>Occurs when an individual moves between positions from one agency to a new agency</w:t>
            </w:r>
            <w:r w:rsidR="004A19E9" w:rsidRPr="003527FE">
              <w:rPr>
                <w:rFonts w:eastAsia="Times New Roman" w:cs="Times New Roman"/>
                <w:color w:val="000000"/>
                <w:spacing w:val="0"/>
              </w:rPr>
              <w:t xml:space="preserve"> </w:t>
            </w:r>
            <w:r w:rsidRPr="003527FE">
              <w:rPr>
                <w:rFonts w:eastAsia="Times New Roman" w:cs="Times New Roman"/>
                <w:color w:val="000000"/>
                <w:spacing w:val="0"/>
              </w:rPr>
              <w:t>and involves an agency determining if reciprocity of prior investigations and/or adjudications may be applied. (See Federal Personnel Vetting Guidelines and Federal Personnel Vetting Investigative Standards and implementing guidance.)</w:t>
            </w:r>
          </w:p>
        </w:tc>
      </w:tr>
      <w:tr w:rsidR="00886241" w:rsidRPr="00AB3800" w14:paraId="1B993FD0" w14:textId="77777777" w:rsidTr="36A80A07">
        <w:trPr>
          <w:cantSplit/>
        </w:trPr>
        <w:tc>
          <w:tcPr>
            <w:tcW w:w="3420" w:type="dxa"/>
            <w:tcBorders>
              <w:right w:val="single" w:sz="4" w:space="0" w:color="auto"/>
            </w:tcBorders>
          </w:tcPr>
          <w:p w14:paraId="514F008A" w14:textId="77777777" w:rsidR="00AB3800" w:rsidRPr="003527FE" w:rsidRDefault="00AB3800" w:rsidP="00AB3800">
            <w:pPr>
              <w:spacing w:after="0" w:line="240" w:lineRule="auto"/>
              <w:rPr>
                <w:rFonts w:eastAsia="Times New Roman" w:cs="Times New Roman"/>
                <w:caps/>
                <w:spacing w:val="0"/>
              </w:rPr>
            </w:pPr>
            <w:r w:rsidRPr="003527FE">
              <w:rPr>
                <w:rFonts w:eastAsia="Times New Roman" w:cs="Times New Roman"/>
                <w:caps/>
                <w:spacing w:val="0"/>
              </w:rPr>
              <w:t>Trust Determination</w:t>
            </w:r>
          </w:p>
        </w:tc>
        <w:tc>
          <w:tcPr>
            <w:tcW w:w="5873" w:type="dxa"/>
            <w:tcBorders>
              <w:left w:val="single" w:sz="4" w:space="0" w:color="auto"/>
            </w:tcBorders>
          </w:tcPr>
          <w:p w14:paraId="5ED48FB0" w14:textId="6BC27839" w:rsidR="00AB3800" w:rsidRPr="003527FE" w:rsidRDefault="00AB3800" w:rsidP="00AB3800">
            <w:pPr>
              <w:spacing w:after="0" w:line="240" w:lineRule="auto"/>
              <w:rPr>
                <w:rFonts w:eastAsia="Times New Roman" w:cs="Times New Roman"/>
                <w:color w:val="000000"/>
                <w:spacing w:val="0"/>
              </w:rPr>
            </w:pPr>
            <w:r w:rsidRPr="003527FE">
              <w:rPr>
                <w:rFonts w:eastAsia="Times New Roman" w:cs="Times New Roman"/>
                <w:color w:val="000000"/>
                <w:spacing w:val="0"/>
              </w:rPr>
              <w:t>A trust determination is a suitability, fitness, national security (eligibility for or continued access to classified information or to hold a sensitive position), and/or credentialing determination that an individual can be trusted to protect people, property, information, and mission, as appropriate under relevant adjudicative standards. (</w:t>
            </w:r>
            <w:r w:rsidR="00EA5BE7" w:rsidRPr="003527FE">
              <w:rPr>
                <w:rFonts w:eastAsia="Times New Roman" w:cs="Times New Roman"/>
                <w:color w:val="000000"/>
                <w:spacing w:val="0"/>
              </w:rPr>
              <w:t>S</w:t>
            </w:r>
            <w:r w:rsidRPr="003527FE">
              <w:rPr>
                <w:rFonts w:eastAsia="Times New Roman" w:cs="Times New Roman"/>
                <w:color w:val="000000"/>
                <w:spacing w:val="0"/>
              </w:rPr>
              <w:t>ee Federal Personnel Vetting Guidelines, section III</w:t>
            </w:r>
            <w:r w:rsidR="0074247F" w:rsidRPr="003527FE">
              <w:rPr>
                <w:rFonts w:eastAsia="Times New Roman" w:cs="Times New Roman"/>
                <w:color w:val="000000"/>
                <w:spacing w:val="0"/>
              </w:rPr>
              <w:t>.</w:t>
            </w:r>
            <w:r w:rsidRPr="003527FE">
              <w:rPr>
                <w:rFonts w:eastAsia="Times New Roman" w:cs="Times New Roman"/>
                <w:color w:val="000000"/>
                <w:spacing w:val="0"/>
              </w:rPr>
              <w:t>)</w:t>
            </w:r>
          </w:p>
        </w:tc>
      </w:tr>
      <w:tr w:rsidR="00886241" w:rsidRPr="00AB3800" w14:paraId="1E9848E2" w14:textId="77777777" w:rsidTr="36A80A07">
        <w:trPr>
          <w:cantSplit/>
        </w:trPr>
        <w:tc>
          <w:tcPr>
            <w:tcW w:w="3420" w:type="dxa"/>
            <w:tcBorders>
              <w:right w:val="single" w:sz="4" w:space="0" w:color="auto"/>
            </w:tcBorders>
          </w:tcPr>
          <w:p w14:paraId="1E5FE0B4" w14:textId="77777777" w:rsidR="00AB3800" w:rsidRPr="003527FE" w:rsidDel="008A09FF" w:rsidRDefault="00AB3800" w:rsidP="00AB3800">
            <w:pPr>
              <w:spacing w:after="0" w:line="240" w:lineRule="auto"/>
              <w:rPr>
                <w:rFonts w:eastAsia="Times New Roman" w:cs="Times New Roman"/>
                <w:caps/>
                <w:spacing w:val="0"/>
              </w:rPr>
            </w:pPr>
            <w:r w:rsidRPr="003527FE">
              <w:rPr>
                <w:rFonts w:eastAsia="Times New Roman" w:cs="Times New Roman"/>
                <w:caps/>
                <w:spacing w:val="0"/>
              </w:rPr>
              <w:t>Vetting Scenarios</w:t>
            </w:r>
          </w:p>
        </w:tc>
        <w:tc>
          <w:tcPr>
            <w:tcW w:w="5873" w:type="dxa"/>
            <w:tcBorders>
              <w:left w:val="single" w:sz="4" w:space="0" w:color="auto"/>
            </w:tcBorders>
          </w:tcPr>
          <w:p w14:paraId="5F3C1256" w14:textId="0CC7C413" w:rsidR="00AB3800" w:rsidRPr="003527FE" w:rsidDel="008A09FF" w:rsidRDefault="00AB3800" w:rsidP="00AB3800">
            <w:pPr>
              <w:spacing w:after="0" w:line="240" w:lineRule="auto"/>
              <w:rPr>
                <w:rFonts w:eastAsia="Times New Roman" w:cs="Times New Roman"/>
                <w:spacing w:val="0"/>
              </w:rPr>
            </w:pPr>
            <w:r w:rsidRPr="003527FE">
              <w:rPr>
                <w:rFonts w:eastAsia="Times New Roman" w:cs="Times New Roman"/>
                <w:spacing w:val="0"/>
              </w:rPr>
              <w:t>There are five personnel vetting scenarios: Initial Vetting, Continuous Vetting, Upgrades, Transfer of Trust, and Re-establishment of Trust. (</w:t>
            </w:r>
            <w:r w:rsidR="00AA12FE">
              <w:rPr>
                <w:rFonts w:eastAsia="Times New Roman" w:cs="Times New Roman"/>
                <w:spacing w:val="0"/>
              </w:rPr>
              <w:t>S</w:t>
            </w:r>
            <w:r w:rsidRPr="003527FE">
              <w:rPr>
                <w:rFonts w:eastAsia="Times New Roman" w:cs="Times New Roman"/>
                <w:spacing w:val="0"/>
              </w:rPr>
              <w:t>ee Federal Personnel Vetting Guidelines</w:t>
            </w:r>
            <w:r w:rsidR="00AA12FE">
              <w:rPr>
                <w:rFonts w:eastAsia="Times New Roman" w:cs="Times New Roman"/>
                <w:spacing w:val="0"/>
              </w:rPr>
              <w:t>.</w:t>
            </w:r>
            <w:r w:rsidRPr="003527FE">
              <w:rPr>
                <w:rFonts w:eastAsia="Times New Roman" w:cs="Times New Roman"/>
                <w:spacing w:val="0"/>
              </w:rPr>
              <w:t>)</w:t>
            </w:r>
          </w:p>
        </w:tc>
      </w:tr>
      <w:tr w:rsidR="00886241" w:rsidRPr="00AB3800" w14:paraId="5E36173B" w14:textId="77777777" w:rsidTr="36A80A07">
        <w:trPr>
          <w:cantSplit/>
        </w:trPr>
        <w:tc>
          <w:tcPr>
            <w:tcW w:w="3420" w:type="dxa"/>
            <w:tcBorders>
              <w:right w:val="single" w:sz="4" w:space="0" w:color="auto"/>
            </w:tcBorders>
          </w:tcPr>
          <w:p w14:paraId="4B55B35C" w14:textId="77777777" w:rsidR="00AB3800" w:rsidRPr="00B606EB" w:rsidRDefault="00AB3800" w:rsidP="00AB3800">
            <w:pPr>
              <w:spacing w:after="0" w:line="240" w:lineRule="auto"/>
              <w:rPr>
                <w:rFonts w:eastAsia="Times New Roman" w:cs="Times New Roman"/>
                <w:caps/>
                <w:spacing w:val="0"/>
              </w:rPr>
            </w:pPr>
            <w:r w:rsidRPr="00B606EB">
              <w:rPr>
                <w:rFonts w:eastAsia="Times New Roman" w:cs="Times New Roman"/>
                <w:caps/>
                <w:spacing w:val="0"/>
              </w:rPr>
              <w:lastRenderedPageBreak/>
              <w:t>UPGRADES</w:t>
            </w:r>
          </w:p>
        </w:tc>
        <w:tc>
          <w:tcPr>
            <w:tcW w:w="5873" w:type="dxa"/>
            <w:tcBorders>
              <w:left w:val="single" w:sz="4" w:space="0" w:color="auto"/>
            </w:tcBorders>
          </w:tcPr>
          <w:p w14:paraId="31CE9BA7" w14:textId="3B22BB46" w:rsidR="00AB3800" w:rsidRPr="00B606EB" w:rsidRDefault="00AB3800" w:rsidP="00AB3800">
            <w:pPr>
              <w:spacing w:after="0" w:line="240" w:lineRule="auto"/>
              <w:rPr>
                <w:rFonts w:eastAsia="Times New Roman" w:cs="Times New Roman"/>
                <w:spacing w:val="0"/>
              </w:rPr>
            </w:pPr>
            <w:r w:rsidRPr="00B606EB">
              <w:rPr>
                <w:rFonts w:eastAsia="Times New Roman" w:cs="Times New Roman"/>
                <w:spacing w:val="0"/>
              </w:rPr>
              <w:t xml:space="preserve">A selection to a new position or assignment of new duties may require an upgrade if the new position or revised position description requires a higher tier investigation. </w:t>
            </w:r>
            <w:r w:rsidRPr="00B606EB">
              <w:rPr>
                <w:rFonts w:eastAsia="Times New Roman" w:cs="Times New Roman"/>
                <w:color w:val="000000"/>
                <w:spacing w:val="0"/>
              </w:rPr>
              <w:t>(See Federal Personnel Vetting Guidelines and Federal Personnel Vetting Investigative Standards and implementing guidance.)</w:t>
            </w:r>
          </w:p>
        </w:tc>
      </w:tr>
    </w:tbl>
    <w:p w14:paraId="33887602" w14:textId="0B24A546" w:rsidR="00AB3800" w:rsidRDefault="00AB3800">
      <w:pPr>
        <w:spacing w:after="160" w:line="259" w:lineRule="auto"/>
      </w:pPr>
    </w:p>
    <w:p w14:paraId="4997BD66" w14:textId="70A9D5F8" w:rsidR="00F62B90" w:rsidRDefault="00F62B90">
      <w:pPr>
        <w:spacing w:after="160" w:line="259" w:lineRule="auto"/>
      </w:pPr>
      <w:r>
        <w:br w:type="page"/>
      </w:r>
    </w:p>
    <w:p w14:paraId="2A32FA22" w14:textId="772442D2" w:rsidR="002D49F9" w:rsidRPr="00B86E21" w:rsidRDefault="002D49F9" w:rsidP="36A80A07">
      <w:pPr>
        <w:pStyle w:val="H1"/>
        <w:rPr>
          <w:rFonts w:cstheme="minorBidi"/>
        </w:rPr>
      </w:pPr>
      <w:bookmarkStart w:id="7" w:name="_Toc187052928"/>
      <w:bookmarkStart w:id="8" w:name="_Toc187924126"/>
      <w:bookmarkStart w:id="9" w:name="_Hlk185353331"/>
      <w:r w:rsidRPr="006F45A7">
        <w:lastRenderedPageBreak/>
        <w:t xml:space="preserve">Volume </w:t>
      </w:r>
      <w:r w:rsidR="00FB4A04" w:rsidRPr="006F45A7">
        <w:t>1</w:t>
      </w:r>
      <w:r w:rsidRPr="006F45A7">
        <w:t>:</w:t>
      </w:r>
      <w:r w:rsidRPr="00A9675C">
        <w:rPr>
          <w:spacing w:val="-6"/>
          <w:szCs w:val="40"/>
        </w:rPr>
        <w:t xml:space="preserve">  </w:t>
      </w:r>
      <w:r w:rsidRPr="36A80A07">
        <w:rPr>
          <w:rFonts w:cstheme="minorBidi"/>
        </w:rPr>
        <w:t>Position Designation, Reciprocity, and Individual Engagement</w:t>
      </w:r>
      <w:bookmarkEnd w:id="7"/>
      <w:bookmarkEnd w:id="8"/>
      <w:r w:rsidRPr="36A80A07">
        <w:rPr>
          <w:rFonts w:cstheme="minorBidi"/>
        </w:rPr>
        <w:t xml:space="preserve"> </w:t>
      </w:r>
    </w:p>
    <w:p w14:paraId="28906001" w14:textId="77777777" w:rsidR="00A2240A" w:rsidRPr="00AE1602" w:rsidRDefault="00A2240A" w:rsidP="000B28C2">
      <w:pPr>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Source Sans Pro" w:eastAsia="Times New Roman" w:hAnsi="Source Sans Pro" w:cs="Sans Serif Collection"/>
          <w:spacing w:val="0"/>
          <w:sz w:val="30"/>
          <w:szCs w:val="30"/>
        </w:rPr>
      </w:pPr>
    </w:p>
    <w:p w14:paraId="10090691" w14:textId="77777777" w:rsidR="00B57F94" w:rsidRPr="00623A85" w:rsidRDefault="00B57F94" w:rsidP="00CA09AD">
      <w:pPr>
        <w:widowControl w:val="0"/>
        <w:spacing w:after="0" w:line="240" w:lineRule="auto"/>
        <w:rPr>
          <w:rFonts w:ascii="Source Sans Pro" w:eastAsia="Arial Narrow" w:hAnsi="Source Sans Pro" w:cs="Arial Narrow"/>
          <w:b/>
          <w:spacing w:val="0"/>
          <w:sz w:val="30"/>
          <w:szCs w:val="30"/>
        </w:rPr>
      </w:pPr>
      <w:r w:rsidRPr="00623A85">
        <w:rPr>
          <w:rFonts w:ascii="Source Sans Pro" w:eastAsia="Arial Narrow" w:hAnsi="Source Sans Pro" w:cs="Arial Narrow"/>
          <w:b/>
          <w:spacing w:val="0"/>
          <w:sz w:val="30"/>
          <w:szCs w:val="30"/>
        </w:rPr>
        <w:t>Change Record</w:t>
      </w:r>
    </w:p>
    <w:p w14:paraId="454DA00C" w14:textId="77777777" w:rsidR="00B57F94" w:rsidRPr="00AE1602" w:rsidRDefault="00B57F94" w:rsidP="00B57F94">
      <w:pPr>
        <w:widowControl w:val="0"/>
        <w:spacing w:before="5" w:after="0" w:line="240" w:lineRule="auto"/>
        <w:rPr>
          <w:rFonts w:ascii="Source Sans Pro" w:eastAsia="Arial Narrow" w:hAnsi="Source Sans Pro" w:cs="Arial Narrow"/>
          <w:b/>
          <w:spacing w:val="0"/>
          <w:sz w:val="30"/>
          <w:szCs w:val="3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1717"/>
        <w:gridCol w:w="5857"/>
      </w:tblGrid>
      <w:tr w:rsidR="00B57F94" w:rsidRPr="00727F07" w14:paraId="07903ABB" w14:textId="77777777" w:rsidTr="00356F35">
        <w:tc>
          <w:tcPr>
            <w:tcW w:w="1781" w:type="dxa"/>
            <w:shd w:val="clear" w:color="auto" w:fill="auto"/>
          </w:tcPr>
          <w:p w14:paraId="4E01CF1D" w14:textId="77777777" w:rsidR="00B57F94" w:rsidRPr="003B0903" w:rsidRDefault="00B57F94" w:rsidP="00B57F94">
            <w:pPr>
              <w:widowControl w:val="0"/>
              <w:spacing w:before="5" w:after="0" w:line="240" w:lineRule="auto"/>
              <w:rPr>
                <w:rFonts w:ascii="Source Sans Pro" w:eastAsia="Arial Narrow" w:hAnsi="Source Sans Pro" w:cs="Arial Narrow"/>
                <w:b/>
                <w:spacing w:val="0"/>
                <w:sz w:val="30"/>
                <w:szCs w:val="30"/>
              </w:rPr>
            </w:pPr>
            <w:r w:rsidRPr="003B0903">
              <w:rPr>
                <w:rFonts w:ascii="Source Sans Pro" w:eastAsia="Arial Narrow" w:hAnsi="Source Sans Pro" w:cs="Arial Narrow"/>
                <w:b/>
                <w:spacing w:val="0"/>
                <w:sz w:val="30"/>
                <w:szCs w:val="30"/>
              </w:rPr>
              <w:t>Date</w:t>
            </w:r>
          </w:p>
        </w:tc>
        <w:tc>
          <w:tcPr>
            <w:tcW w:w="1717" w:type="dxa"/>
            <w:shd w:val="clear" w:color="auto" w:fill="auto"/>
          </w:tcPr>
          <w:p w14:paraId="367374CF" w14:textId="2EA0A1D8" w:rsidR="00B57F94" w:rsidRPr="003B0903" w:rsidRDefault="00B57F94" w:rsidP="00B57F94">
            <w:pPr>
              <w:widowControl w:val="0"/>
              <w:spacing w:before="5" w:after="0" w:line="240" w:lineRule="auto"/>
              <w:rPr>
                <w:rFonts w:ascii="Source Sans Pro" w:eastAsia="Arial Narrow" w:hAnsi="Source Sans Pro" w:cs="Arial Narrow"/>
                <w:b/>
                <w:spacing w:val="0"/>
                <w:sz w:val="30"/>
                <w:szCs w:val="30"/>
              </w:rPr>
            </w:pPr>
            <w:r w:rsidRPr="003B0903">
              <w:rPr>
                <w:rFonts w:ascii="Source Sans Pro" w:eastAsia="Arial Narrow" w:hAnsi="Source Sans Pro" w:cs="Arial Narrow"/>
                <w:b/>
                <w:spacing w:val="0"/>
                <w:sz w:val="30"/>
                <w:szCs w:val="30"/>
              </w:rPr>
              <w:t>Page</w:t>
            </w:r>
            <w:r w:rsidR="7BCE7C7A" w:rsidRPr="003B0903">
              <w:rPr>
                <w:rFonts w:ascii="Source Sans Pro" w:eastAsia="Arial Narrow" w:hAnsi="Source Sans Pro" w:cs="Arial Narrow"/>
                <w:b/>
                <w:spacing w:val="0"/>
                <w:sz w:val="30"/>
                <w:szCs w:val="30"/>
              </w:rPr>
              <w:t>(s)</w:t>
            </w:r>
            <w:r w:rsidRPr="003B0903">
              <w:rPr>
                <w:rFonts w:ascii="Source Sans Pro" w:eastAsia="Arial Narrow" w:hAnsi="Source Sans Pro" w:cs="Arial Narrow"/>
                <w:b/>
                <w:spacing w:val="0"/>
                <w:sz w:val="30"/>
                <w:szCs w:val="30"/>
              </w:rPr>
              <w:t xml:space="preserve"> Affected</w:t>
            </w:r>
          </w:p>
        </w:tc>
        <w:tc>
          <w:tcPr>
            <w:tcW w:w="5857" w:type="dxa"/>
            <w:shd w:val="clear" w:color="auto" w:fill="auto"/>
          </w:tcPr>
          <w:p w14:paraId="06550AE9" w14:textId="1DE9BBD8" w:rsidR="00B57F94" w:rsidRPr="003B0903" w:rsidRDefault="00B57F94" w:rsidP="00B57F94">
            <w:pPr>
              <w:widowControl w:val="0"/>
              <w:spacing w:before="5" w:after="0" w:line="240" w:lineRule="auto"/>
              <w:rPr>
                <w:rFonts w:ascii="Source Sans Pro" w:eastAsia="Arial Narrow" w:hAnsi="Source Sans Pro" w:cs="Arial Narrow"/>
                <w:b/>
                <w:spacing w:val="0"/>
                <w:sz w:val="30"/>
                <w:szCs w:val="30"/>
              </w:rPr>
            </w:pPr>
            <w:r w:rsidRPr="003B0903">
              <w:rPr>
                <w:rFonts w:ascii="Source Sans Pro" w:eastAsia="Arial Narrow" w:hAnsi="Source Sans Pro" w:cs="Arial Narrow"/>
                <w:b/>
                <w:spacing w:val="0"/>
                <w:sz w:val="30"/>
                <w:szCs w:val="30"/>
              </w:rPr>
              <w:t>Description of Revision</w:t>
            </w:r>
            <w:r w:rsidR="1465A29A" w:rsidRPr="003B0903">
              <w:rPr>
                <w:rFonts w:ascii="Source Sans Pro" w:eastAsia="Arial Narrow" w:hAnsi="Source Sans Pro" w:cs="Arial Narrow"/>
                <w:b/>
                <w:spacing w:val="0"/>
                <w:sz w:val="30"/>
                <w:szCs w:val="30"/>
              </w:rPr>
              <w:t>(s)</w:t>
            </w:r>
          </w:p>
        </w:tc>
      </w:tr>
      <w:tr w:rsidR="00B57F94" w:rsidRPr="00727F07" w14:paraId="75088E70" w14:textId="77777777" w:rsidTr="00356F35">
        <w:tc>
          <w:tcPr>
            <w:tcW w:w="1781" w:type="dxa"/>
            <w:shd w:val="clear" w:color="auto" w:fill="auto"/>
          </w:tcPr>
          <w:p w14:paraId="4329C03F" w14:textId="77777777" w:rsidR="00B57F94" w:rsidRPr="00B84147" w:rsidRDefault="00B57F94" w:rsidP="00B57F94">
            <w:pPr>
              <w:widowControl w:val="0"/>
              <w:spacing w:before="5" w:after="0" w:line="240" w:lineRule="auto"/>
              <w:rPr>
                <w:rFonts w:eastAsia="Arial Narrow" w:cs="Arial Narrow"/>
                <w:b/>
                <w:spacing w:val="0"/>
              </w:rPr>
            </w:pPr>
          </w:p>
        </w:tc>
        <w:tc>
          <w:tcPr>
            <w:tcW w:w="1717" w:type="dxa"/>
            <w:shd w:val="clear" w:color="auto" w:fill="auto"/>
          </w:tcPr>
          <w:p w14:paraId="33C10016" w14:textId="77777777" w:rsidR="00B57F94" w:rsidRPr="00B84147" w:rsidRDefault="00B57F94" w:rsidP="00B57F94">
            <w:pPr>
              <w:widowControl w:val="0"/>
              <w:spacing w:before="5" w:after="0" w:line="240" w:lineRule="auto"/>
              <w:rPr>
                <w:rFonts w:eastAsia="Arial Narrow" w:cs="Arial Narrow"/>
                <w:b/>
                <w:spacing w:val="0"/>
              </w:rPr>
            </w:pPr>
          </w:p>
        </w:tc>
        <w:tc>
          <w:tcPr>
            <w:tcW w:w="5857" w:type="dxa"/>
            <w:shd w:val="clear" w:color="auto" w:fill="auto"/>
          </w:tcPr>
          <w:p w14:paraId="0E2D259C" w14:textId="77777777" w:rsidR="00B57F94" w:rsidRPr="00B84147" w:rsidRDefault="00B57F94" w:rsidP="00B57F94">
            <w:pPr>
              <w:widowControl w:val="0"/>
              <w:spacing w:before="5" w:after="0" w:line="240" w:lineRule="auto"/>
              <w:rPr>
                <w:rFonts w:eastAsia="Arial Narrow" w:cs="Arial Narrow"/>
                <w:b/>
                <w:spacing w:val="0"/>
              </w:rPr>
            </w:pPr>
          </w:p>
        </w:tc>
      </w:tr>
      <w:tr w:rsidR="00B57F94" w:rsidRPr="00727F07" w14:paraId="74107242" w14:textId="77777777" w:rsidTr="00356F35">
        <w:tc>
          <w:tcPr>
            <w:tcW w:w="1781" w:type="dxa"/>
            <w:shd w:val="clear" w:color="auto" w:fill="auto"/>
          </w:tcPr>
          <w:p w14:paraId="644D4470" w14:textId="77777777" w:rsidR="00B57F94" w:rsidRPr="00B84147" w:rsidRDefault="00B57F94" w:rsidP="00B57F94">
            <w:pPr>
              <w:widowControl w:val="0"/>
              <w:spacing w:before="5" w:after="0" w:line="240" w:lineRule="auto"/>
              <w:rPr>
                <w:rFonts w:eastAsia="Arial Narrow" w:cs="Arial Narrow"/>
                <w:b/>
                <w:spacing w:val="0"/>
              </w:rPr>
            </w:pPr>
          </w:p>
        </w:tc>
        <w:tc>
          <w:tcPr>
            <w:tcW w:w="1717" w:type="dxa"/>
            <w:shd w:val="clear" w:color="auto" w:fill="auto"/>
          </w:tcPr>
          <w:p w14:paraId="0347704E" w14:textId="77777777" w:rsidR="00B57F94" w:rsidRPr="00B84147" w:rsidRDefault="00B57F94" w:rsidP="00B57F94">
            <w:pPr>
              <w:widowControl w:val="0"/>
              <w:spacing w:before="5" w:after="0" w:line="240" w:lineRule="auto"/>
              <w:rPr>
                <w:rFonts w:eastAsia="Arial Narrow" w:cs="Arial Narrow"/>
                <w:b/>
                <w:spacing w:val="0"/>
              </w:rPr>
            </w:pPr>
          </w:p>
        </w:tc>
        <w:tc>
          <w:tcPr>
            <w:tcW w:w="5857" w:type="dxa"/>
            <w:shd w:val="clear" w:color="auto" w:fill="auto"/>
          </w:tcPr>
          <w:p w14:paraId="66AC1E3A" w14:textId="77777777" w:rsidR="00B57F94" w:rsidRPr="00B84147" w:rsidRDefault="00B57F94" w:rsidP="00B57F94">
            <w:pPr>
              <w:widowControl w:val="0"/>
              <w:spacing w:before="5" w:after="0" w:line="240" w:lineRule="auto"/>
              <w:rPr>
                <w:rFonts w:eastAsia="Arial Narrow" w:cs="Arial Narrow"/>
                <w:b/>
                <w:spacing w:val="0"/>
              </w:rPr>
            </w:pPr>
          </w:p>
        </w:tc>
      </w:tr>
      <w:tr w:rsidR="00E17F3A" w:rsidRPr="00727F07" w14:paraId="6A2D7D62" w14:textId="77777777" w:rsidTr="00356F35">
        <w:tc>
          <w:tcPr>
            <w:tcW w:w="1781" w:type="dxa"/>
            <w:shd w:val="clear" w:color="auto" w:fill="auto"/>
          </w:tcPr>
          <w:p w14:paraId="14A2CC42" w14:textId="77777777" w:rsidR="00E17F3A" w:rsidRPr="00B84147" w:rsidRDefault="00E17F3A" w:rsidP="00B57F94">
            <w:pPr>
              <w:widowControl w:val="0"/>
              <w:spacing w:before="5" w:after="0" w:line="240" w:lineRule="auto"/>
              <w:rPr>
                <w:rFonts w:eastAsia="Arial Narrow" w:cs="Arial Narrow"/>
                <w:b/>
                <w:spacing w:val="0"/>
              </w:rPr>
            </w:pPr>
          </w:p>
        </w:tc>
        <w:tc>
          <w:tcPr>
            <w:tcW w:w="1717" w:type="dxa"/>
            <w:shd w:val="clear" w:color="auto" w:fill="auto"/>
          </w:tcPr>
          <w:p w14:paraId="4482A990" w14:textId="77777777" w:rsidR="00E17F3A" w:rsidRPr="00B84147" w:rsidRDefault="00E17F3A" w:rsidP="00B57F94">
            <w:pPr>
              <w:widowControl w:val="0"/>
              <w:spacing w:before="5" w:after="0" w:line="240" w:lineRule="auto"/>
              <w:rPr>
                <w:rFonts w:eastAsia="Arial Narrow" w:cs="Arial Narrow"/>
                <w:b/>
                <w:spacing w:val="0"/>
              </w:rPr>
            </w:pPr>
          </w:p>
        </w:tc>
        <w:tc>
          <w:tcPr>
            <w:tcW w:w="5857" w:type="dxa"/>
            <w:shd w:val="clear" w:color="auto" w:fill="auto"/>
          </w:tcPr>
          <w:p w14:paraId="63AFCBE2" w14:textId="77777777" w:rsidR="00E17F3A" w:rsidRPr="00B84147" w:rsidRDefault="00E17F3A" w:rsidP="00B57F94">
            <w:pPr>
              <w:widowControl w:val="0"/>
              <w:spacing w:before="5" w:after="0" w:line="240" w:lineRule="auto"/>
              <w:rPr>
                <w:rFonts w:eastAsia="Arial Narrow" w:cs="Arial Narrow"/>
                <w:b/>
                <w:spacing w:val="0"/>
              </w:rPr>
            </w:pPr>
          </w:p>
        </w:tc>
      </w:tr>
      <w:tr w:rsidR="001617D2" w:rsidRPr="00727F07" w14:paraId="00758FD3" w14:textId="77777777" w:rsidTr="00356F35">
        <w:tc>
          <w:tcPr>
            <w:tcW w:w="1781" w:type="dxa"/>
            <w:shd w:val="clear" w:color="auto" w:fill="auto"/>
          </w:tcPr>
          <w:p w14:paraId="6568AC75" w14:textId="77777777" w:rsidR="001617D2" w:rsidRPr="00B84147" w:rsidRDefault="001617D2" w:rsidP="00B57F94">
            <w:pPr>
              <w:widowControl w:val="0"/>
              <w:spacing w:before="5" w:after="0" w:line="240" w:lineRule="auto"/>
              <w:rPr>
                <w:rFonts w:eastAsia="Arial Narrow" w:cs="Arial Narrow"/>
                <w:b/>
                <w:spacing w:val="0"/>
              </w:rPr>
            </w:pPr>
          </w:p>
        </w:tc>
        <w:tc>
          <w:tcPr>
            <w:tcW w:w="1717" w:type="dxa"/>
            <w:shd w:val="clear" w:color="auto" w:fill="auto"/>
          </w:tcPr>
          <w:p w14:paraId="7BACF5CB" w14:textId="77777777" w:rsidR="001617D2" w:rsidRPr="00B84147" w:rsidRDefault="001617D2" w:rsidP="00B57F94">
            <w:pPr>
              <w:widowControl w:val="0"/>
              <w:spacing w:before="5" w:after="0" w:line="240" w:lineRule="auto"/>
              <w:rPr>
                <w:rFonts w:eastAsia="Arial Narrow" w:cs="Arial Narrow"/>
                <w:b/>
                <w:spacing w:val="0"/>
              </w:rPr>
            </w:pPr>
          </w:p>
        </w:tc>
        <w:tc>
          <w:tcPr>
            <w:tcW w:w="5857" w:type="dxa"/>
            <w:shd w:val="clear" w:color="auto" w:fill="auto"/>
          </w:tcPr>
          <w:p w14:paraId="355E5F2A" w14:textId="77777777" w:rsidR="001617D2" w:rsidRPr="00B84147" w:rsidRDefault="001617D2" w:rsidP="00B57F94">
            <w:pPr>
              <w:widowControl w:val="0"/>
              <w:spacing w:before="5" w:after="0" w:line="240" w:lineRule="auto"/>
              <w:rPr>
                <w:rFonts w:eastAsia="Arial Narrow" w:cs="Arial Narrow"/>
                <w:b/>
                <w:spacing w:val="0"/>
              </w:rPr>
            </w:pPr>
          </w:p>
        </w:tc>
      </w:tr>
      <w:tr w:rsidR="001617D2" w:rsidRPr="00727F07" w14:paraId="13F99B32" w14:textId="77777777" w:rsidTr="00356F35">
        <w:tc>
          <w:tcPr>
            <w:tcW w:w="1781" w:type="dxa"/>
            <w:shd w:val="clear" w:color="auto" w:fill="auto"/>
          </w:tcPr>
          <w:p w14:paraId="1FBEAF89" w14:textId="77777777" w:rsidR="001617D2" w:rsidRPr="00B84147" w:rsidRDefault="001617D2" w:rsidP="00B57F94">
            <w:pPr>
              <w:widowControl w:val="0"/>
              <w:spacing w:before="5" w:after="0" w:line="240" w:lineRule="auto"/>
              <w:rPr>
                <w:rFonts w:eastAsia="Arial Narrow" w:cs="Arial Narrow"/>
                <w:b/>
                <w:spacing w:val="0"/>
              </w:rPr>
            </w:pPr>
          </w:p>
        </w:tc>
        <w:tc>
          <w:tcPr>
            <w:tcW w:w="1717" w:type="dxa"/>
            <w:shd w:val="clear" w:color="auto" w:fill="auto"/>
          </w:tcPr>
          <w:p w14:paraId="7160E446" w14:textId="77777777" w:rsidR="001617D2" w:rsidRPr="00B84147" w:rsidRDefault="001617D2" w:rsidP="00B57F94">
            <w:pPr>
              <w:widowControl w:val="0"/>
              <w:spacing w:before="5" w:after="0" w:line="240" w:lineRule="auto"/>
              <w:rPr>
                <w:rFonts w:eastAsia="Arial Narrow" w:cs="Arial Narrow"/>
                <w:b/>
                <w:spacing w:val="0"/>
              </w:rPr>
            </w:pPr>
          </w:p>
        </w:tc>
        <w:tc>
          <w:tcPr>
            <w:tcW w:w="5857" w:type="dxa"/>
            <w:shd w:val="clear" w:color="auto" w:fill="auto"/>
          </w:tcPr>
          <w:p w14:paraId="2D22328A" w14:textId="77777777" w:rsidR="001617D2" w:rsidRPr="00B84147" w:rsidRDefault="001617D2" w:rsidP="00B57F94">
            <w:pPr>
              <w:widowControl w:val="0"/>
              <w:spacing w:before="5" w:after="0" w:line="240" w:lineRule="auto"/>
              <w:rPr>
                <w:rFonts w:eastAsia="Arial Narrow" w:cs="Arial Narrow"/>
                <w:b/>
                <w:spacing w:val="0"/>
              </w:rPr>
            </w:pPr>
          </w:p>
        </w:tc>
      </w:tr>
      <w:tr w:rsidR="001617D2" w:rsidRPr="00727F07" w14:paraId="5598052E" w14:textId="77777777" w:rsidTr="00356F35">
        <w:tc>
          <w:tcPr>
            <w:tcW w:w="1781" w:type="dxa"/>
            <w:shd w:val="clear" w:color="auto" w:fill="auto"/>
          </w:tcPr>
          <w:p w14:paraId="0B766C65" w14:textId="77777777" w:rsidR="001617D2" w:rsidRPr="00B84147" w:rsidRDefault="001617D2" w:rsidP="00B57F94">
            <w:pPr>
              <w:widowControl w:val="0"/>
              <w:spacing w:before="5" w:after="0" w:line="240" w:lineRule="auto"/>
              <w:rPr>
                <w:rFonts w:eastAsia="Arial Narrow" w:cs="Arial Narrow"/>
                <w:b/>
                <w:spacing w:val="0"/>
              </w:rPr>
            </w:pPr>
          </w:p>
        </w:tc>
        <w:tc>
          <w:tcPr>
            <w:tcW w:w="1717" w:type="dxa"/>
            <w:shd w:val="clear" w:color="auto" w:fill="auto"/>
          </w:tcPr>
          <w:p w14:paraId="59290CFF" w14:textId="77777777" w:rsidR="001617D2" w:rsidRPr="00B84147" w:rsidRDefault="001617D2" w:rsidP="00B57F94">
            <w:pPr>
              <w:widowControl w:val="0"/>
              <w:spacing w:before="5" w:after="0" w:line="240" w:lineRule="auto"/>
              <w:rPr>
                <w:rFonts w:eastAsia="Arial Narrow" w:cs="Arial Narrow"/>
                <w:b/>
                <w:spacing w:val="0"/>
              </w:rPr>
            </w:pPr>
          </w:p>
        </w:tc>
        <w:tc>
          <w:tcPr>
            <w:tcW w:w="5857" w:type="dxa"/>
            <w:shd w:val="clear" w:color="auto" w:fill="auto"/>
          </w:tcPr>
          <w:p w14:paraId="16E47638" w14:textId="77777777" w:rsidR="001617D2" w:rsidRPr="00B84147" w:rsidRDefault="001617D2" w:rsidP="00B57F94">
            <w:pPr>
              <w:widowControl w:val="0"/>
              <w:spacing w:before="5" w:after="0" w:line="240" w:lineRule="auto"/>
              <w:rPr>
                <w:rFonts w:eastAsia="Arial Narrow" w:cs="Arial Narrow"/>
                <w:b/>
                <w:spacing w:val="0"/>
              </w:rPr>
            </w:pPr>
          </w:p>
        </w:tc>
      </w:tr>
      <w:tr w:rsidR="00271D33" w:rsidRPr="00727F07" w14:paraId="15D76943" w14:textId="77777777" w:rsidTr="00356F35">
        <w:tc>
          <w:tcPr>
            <w:tcW w:w="1781" w:type="dxa"/>
            <w:shd w:val="clear" w:color="auto" w:fill="auto"/>
          </w:tcPr>
          <w:p w14:paraId="0030E195" w14:textId="77777777" w:rsidR="00271D33" w:rsidRPr="00B84147" w:rsidRDefault="00271D33" w:rsidP="00B57F94">
            <w:pPr>
              <w:widowControl w:val="0"/>
              <w:spacing w:before="5" w:after="0" w:line="240" w:lineRule="auto"/>
              <w:rPr>
                <w:rFonts w:eastAsia="Arial Narrow" w:cs="Arial Narrow"/>
                <w:b/>
                <w:spacing w:val="0"/>
              </w:rPr>
            </w:pPr>
          </w:p>
        </w:tc>
        <w:tc>
          <w:tcPr>
            <w:tcW w:w="1717" w:type="dxa"/>
            <w:shd w:val="clear" w:color="auto" w:fill="auto"/>
          </w:tcPr>
          <w:p w14:paraId="6E4AB1F2" w14:textId="77777777" w:rsidR="00271D33" w:rsidRPr="00B84147" w:rsidRDefault="00271D33" w:rsidP="00B57F94">
            <w:pPr>
              <w:widowControl w:val="0"/>
              <w:spacing w:before="5" w:after="0" w:line="240" w:lineRule="auto"/>
              <w:rPr>
                <w:rFonts w:eastAsia="Arial Narrow" w:cs="Arial Narrow"/>
                <w:b/>
                <w:spacing w:val="0"/>
              </w:rPr>
            </w:pPr>
          </w:p>
        </w:tc>
        <w:tc>
          <w:tcPr>
            <w:tcW w:w="5857" w:type="dxa"/>
            <w:shd w:val="clear" w:color="auto" w:fill="auto"/>
          </w:tcPr>
          <w:p w14:paraId="4299802F" w14:textId="77777777" w:rsidR="00271D33" w:rsidRPr="00B84147" w:rsidRDefault="00271D33" w:rsidP="00B57F94">
            <w:pPr>
              <w:widowControl w:val="0"/>
              <w:spacing w:before="5" w:after="0" w:line="240" w:lineRule="auto"/>
              <w:rPr>
                <w:rFonts w:eastAsia="Arial Narrow" w:cs="Arial Narrow"/>
                <w:b/>
                <w:spacing w:val="0"/>
              </w:rPr>
            </w:pPr>
          </w:p>
        </w:tc>
      </w:tr>
      <w:tr w:rsidR="00271D33" w:rsidRPr="00727F07" w14:paraId="363F1C6A" w14:textId="77777777" w:rsidTr="00356F35">
        <w:tc>
          <w:tcPr>
            <w:tcW w:w="1781" w:type="dxa"/>
            <w:shd w:val="clear" w:color="auto" w:fill="auto"/>
          </w:tcPr>
          <w:p w14:paraId="7A435E69" w14:textId="77777777" w:rsidR="00271D33" w:rsidRPr="00B84147" w:rsidRDefault="00271D33" w:rsidP="00B57F94">
            <w:pPr>
              <w:widowControl w:val="0"/>
              <w:spacing w:before="5" w:after="0" w:line="240" w:lineRule="auto"/>
              <w:rPr>
                <w:rFonts w:eastAsia="Arial Narrow" w:cs="Arial Narrow"/>
                <w:b/>
                <w:spacing w:val="0"/>
              </w:rPr>
            </w:pPr>
          </w:p>
        </w:tc>
        <w:tc>
          <w:tcPr>
            <w:tcW w:w="1717" w:type="dxa"/>
            <w:shd w:val="clear" w:color="auto" w:fill="auto"/>
          </w:tcPr>
          <w:p w14:paraId="0589DEFB" w14:textId="77777777" w:rsidR="00271D33" w:rsidRPr="00B84147" w:rsidRDefault="00271D33" w:rsidP="00B57F94">
            <w:pPr>
              <w:widowControl w:val="0"/>
              <w:spacing w:before="5" w:after="0" w:line="240" w:lineRule="auto"/>
              <w:rPr>
                <w:rFonts w:eastAsia="Arial Narrow" w:cs="Arial Narrow"/>
                <w:b/>
                <w:spacing w:val="0"/>
              </w:rPr>
            </w:pPr>
          </w:p>
        </w:tc>
        <w:tc>
          <w:tcPr>
            <w:tcW w:w="5857" w:type="dxa"/>
            <w:shd w:val="clear" w:color="auto" w:fill="auto"/>
          </w:tcPr>
          <w:p w14:paraId="153BE7FA" w14:textId="77777777" w:rsidR="00271D33" w:rsidRPr="00B84147" w:rsidRDefault="00271D33" w:rsidP="00B57F94">
            <w:pPr>
              <w:widowControl w:val="0"/>
              <w:spacing w:before="5" w:after="0" w:line="240" w:lineRule="auto"/>
              <w:rPr>
                <w:rFonts w:eastAsia="Arial Narrow" w:cs="Arial Narrow"/>
                <w:b/>
                <w:spacing w:val="0"/>
              </w:rPr>
            </w:pPr>
          </w:p>
        </w:tc>
      </w:tr>
      <w:tr w:rsidR="00E17F3A" w:rsidRPr="00727F07" w14:paraId="2BCC1934" w14:textId="77777777" w:rsidTr="00356F35">
        <w:tc>
          <w:tcPr>
            <w:tcW w:w="1781" w:type="dxa"/>
            <w:shd w:val="clear" w:color="auto" w:fill="auto"/>
          </w:tcPr>
          <w:p w14:paraId="1ACE591D" w14:textId="77777777" w:rsidR="00E17F3A" w:rsidRPr="00B84147" w:rsidRDefault="00E17F3A" w:rsidP="00B57F94">
            <w:pPr>
              <w:widowControl w:val="0"/>
              <w:spacing w:before="5" w:after="0" w:line="240" w:lineRule="auto"/>
              <w:rPr>
                <w:rFonts w:eastAsia="Arial Narrow" w:cs="Arial Narrow"/>
                <w:b/>
                <w:spacing w:val="0"/>
              </w:rPr>
            </w:pPr>
          </w:p>
        </w:tc>
        <w:tc>
          <w:tcPr>
            <w:tcW w:w="1717" w:type="dxa"/>
            <w:shd w:val="clear" w:color="auto" w:fill="auto"/>
          </w:tcPr>
          <w:p w14:paraId="793D75B0" w14:textId="77777777" w:rsidR="00E17F3A" w:rsidRPr="00B84147" w:rsidRDefault="00E17F3A" w:rsidP="00B57F94">
            <w:pPr>
              <w:widowControl w:val="0"/>
              <w:spacing w:before="5" w:after="0" w:line="240" w:lineRule="auto"/>
              <w:rPr>
                <w:rFonts w:eastAsia="Arial Narrow" w:cs="Arial Narrow"/>
                <w:b/>
                <w:spacing w:val="0"/>
              </w:rPr>
            </w:pPr>
          </w:p>
        </w:tc>
        <w:tc>
          <w:tcPr>
            <w:tcW w:w="5857" w:type="dxa"/>
            <w:shd w:val="clear" w:color="auto" w:fill="auto"/>
          </w:tcPr>
          <w:p w14:paraId="45D8DE11" w14:textId="77777777" w:rsidR="00E17F3A" w:rsidRPr="00B84147" w:rsidRDefault="00E17F3A" w:rsidP="00B57F94">
            <w:pPr>
              <w:widowControl w:val="0"/>
              <w:spacing w:before="5" w:after="0" w:line="240" w:lineRule="auto"/>
              <w:rPr>
                <w:rFonts w:eastAsia="Arial Narrow" w:cs="Arial Narrow"/>
                <w:b/>
                <w:spacing w:val="0"/>
              </w:rPr>
            </w:pPr>
          </w:p>
        </w:tc>
      </w:tr>
      <w:tr w:rsidR="00E17F3A" w:rsidRPr="00727F07" w14:paraId="236C3A16" w14:textId="77777777" w:rsidTr="00356F35">
        <w:tc>
          <w:tcPr>
            <w:tcW w:w="1781" w:type="dxa"/>
            <w:shd w:val="clear" w:color="auto" w:fill="auto"/>
          </w:tcPr>
          <w:p w14:paraId="0DF4104B" w14:textId="77777777" w:rsidR="00E17F3A" w:rsidRPr="00B84147" w:rsidRDefault="00E17F3A" w:rsidP="00B57F94">
            <w:pPr>
              <w:widowControl w:val="0"/>
              <w:spacing w:before="5" w:after="0" w:line="240" w:lineRule="auto"/>
              <w:rPr>
                <w:rFonts w:eastAsia="Arial Narrow" w:cs="Arial Narrow"/>
                <w:b/>
                <w:spacing w:val="0"/>
              </w:rPr>
            </w:pPr>
          </w:p>
        </w:tc>
        <w:tc>
          <w:tcPr>
            <w:tcW w:w="1717" w:type="dxa"/>
            <w:shd w:val="clear" w:color="auto" w:fill="auto"/>
          </w:tcPr>
          <w:p w14:paraId="6721C84A" w14:textId="77777777" w:rsidR="00E17F3A" w:rsidRPr="00B84147" w:rsidRDefault="00E17F3A" w:rsidP="00B57F94">
            <w:pPr>
              <w:widowControl w:val="0"/>
              <w:spacing w:before="5" w:after="0" w:line="240" w:lineRule="auto"/>
              <w:rPr>
                <w:rFonts w:eastAsia="Arial Narrow" w:cs="Arial Narrow"/>
                <w:b/>
                <w:spacing w:val="0"/>
              </w:rPr>
            </w:pPr>
          </w:p>
        </w:tc>
        <w:tc>
          <w:tcPr>
            <w:tcW w:w="5857" w:type="dxa"/>
            <w:shd w:val="clear" w:color="auto" w:fill="auto"/>
          </w:tcPr>
          <w:p w14:paraId="160D9DD2" w14:textId="77777777" w:rsidR="00E17F3A" w:rsidRPr="00B84147" w:rsidRDefault="00E17F3A" w:rsidP="00B57F94">
            <w:pPr>
              <w:widowControl w:val="0"/>
              <w:spacing w:before="5" w:after="0" w:line="240" w:lineRule="auto"/>
              <w:rPr>
                <w:rFonts w:eastAsia="Arial Narrow" w:cs="Arial Narrow"/>
                <w:b/>
                <w:spacing w:val="0"/>
              </w:rPr>
            </w:pPr>
          </w:p>
        </w:tc>
      </w:tr>
      <w:tr w:rsidR="00E17F3A" w:rsidRPr="00727F07" w14:paraId="567026C6" w14:textId="77777777" w:rsidTr="00356F35">
        <w:tc>
          <w:tcPr>
            <w:tcW w:w="1781" w:type="dxa"/>
            <w:shd w:val="clear" w:color="auto" w:fill="auto"/>
          </w:tcPr>
          <w:p w14:paraId="67AEBA94" w14:textId="77777777" w:rsidR="00E17F3A" w:rsidRPr="00B84147" w:rsidRDefault="00E17F3A" w:rsidP="00B57F94">
            <w:pPr>
              <w:widowControl w:val="0"/>
              <w:spacing w:before="5" w:after="0" w:line="240" w:lineRule="auto"/>
              <w:rPr>
                <w:rFonts w:eastAsia="Arial Narrow" w:cs="Arial Narrow"/>
                <w:b/>
                <w:spacing w:val="0"/>
              </w:rPr>
            </w:pPr>
          </w:p>
        </w:tc>
        <w:tc>
          <w:tcPr>
            <w:tcW w:w="1717" w:type="dxa"/>
            <w:shd w:val="clear" w:color="auto" w:fill="auto"/>
          </w:tcPr>
          <w:p w14:paraId="3538B4E1" w14:textId="77777777" w:rsidR="00E17F3A" w:rsidRPr="00B84147" w:rsidRDefault="00E17F3A" w:rsidP="00B57F94">
            <w:pPr>
              <w:widowControl w:val="0"/>
              <w:spacing w:before="5" w:after="0" w:line="240" w:lineRule="auto"/>
              <w:rPr>
                <w:rFonts w:eastAsia="Arial Narrow" w:cs="Arial Narrow"/>
                <w:b/>
                <w:spacing w:val="0"/>
              </w:rPr>
            </w:pPr>
          </w:p>
        </w:tc>
        <w:tc>
          <w:tcPr>
            <w:tcW w:w="5857" w:type="dxa"/>
            <w:shd w:val="clear" w:color="auto" w:fill="auto"/>
          </w:tcPr>
          <w:p w14:paraId="5B7FF1E8" w14:textId="77777777" w:rsidR="00E17F3A" w:rsidRPr="00B84147" w:rsidRDefault="00E17F3A" w:rsidP="00B57F94">
            <w:pPr>
              <w:widowControl w:val="0"/>
              <w:spacing w:before="5" w:after="0" w:line="240" w:lineRule="auto"/>
              <w:rPr>
                <w:rFonts w:eastAsia="Arial Narrow" w:cs="Arial Narrow"/>
                <w:b/>
                <w:spacing w:val="0"/>
              </w:rPr>
            </w:pPr>
          </w:p>
        </w:tc>
      </w:tr>
      <w:tr w:rsidR="00E17F3A" w:rsidRPr="00727F07" w14:paraId="59E64912" w14:textId="77777777" w:rsidTr="00356F35">
        <w:tc>
          <w:tcPr>
            <w:tcW w:w="1781" w:type="dxa"/>
            <w:shd w:val="clear" w:color="auto" w:fill="auto"/>
          </w:tcPr>
          <w:p w14:paraId="59FEF81C" w14:textId="77777777" w:rsidR="00E17F3A" w:rsidRPr="00B84147" w:rsidRDefault="00E17F3A" w:rsidP="00B57F94">
            <w:pPr>
              <w:widowControl w:val="0"/>
              <w:spacing w:before="5" w:after="0" w:line="240" w:lineRule="auto"/>
              <w:rPr>
                <w:rFonts w:eastAsia="Arial Narrow" w:cs="Arial Narrow"/>
                <w:b/>
                <w:spacing w:val="0"/>
              </w:rPr>
            </w:pPr>
          </w:p>
        </w:tc>
        <w:tc>
          <w:tcPr>
            <w:tcW w:w="1717" w:type="dxa"/>
            <w:shd w:val="clear" w:color="auto" w:fill="auto"/>
          </w:tcPr>
          <w:p w14:paraId="25812211" w14:textId="77777777" w:rsidR="00E17F3A" w:rsidRPr="00B84147" w:rsidRDefault="00E17F3A" w:rsidP="00B57F94">
            <w:pPr>
              <w:widowControl w:val="0"/>
              <w:spacing w:before="5" w:after="0" w:line="240" w:lineRule="auto"/>
              <w:rPr>
                <w:rFonts w:eastAsia="Arial Narrow" w:cs="Arial Narrow"/>
                <w:b/>
                <w:spacing w:val="0"/>
              </w:rPr>
            </w:pPr>
          </w:p>
        </w:tc>
        <w:tc>
          <w:tcPr>
            <w:tcW w:w="5857" w:type="dxa"/>
            <w:shd w:val="clear" w:color="auto" w:fill="auto"/>
          </w:tcPr>
          <w:p w14:paraId="66049C1F" w14:textId="77777777" w:rsidR="00E17F3A" w:rsidRPr="00B84147" w:rsidRDefault="00E17F3A" w:rsidP="00B57F94">
            <w:pPr>
              <w:widowControl w:val="0"/>
              <w:spacing w:before="5" w:after="0" w:line="240" w:lineRule="auto"/>
              <w:rPr>
                <w:rFonts w:eastAsia="Arial Narrow" w:cs="Arial Narrow"/>
                <w:b/>
                <w:spacing w:val="0"/>
              </w:rPr>
            </w:pPr>
          </w:p>
        </w:tc>
      </w:tr>
      <w:tr w:rsidR="00E17F3A" w:rsidRPr="00727F07" w14:paraId="2D305BC6" w14:textId="77777777" w:rsidTr="00356F35">
        <w:tc>
          <w:tcPr>
            <w:tcW w:w="1781" w:type="dxa"/>
            <w:shd w:val="clear" w:color="auto" w:fill="auto"/>
          </w:tcPr>
          <w:p w14:paraId="7A109F8A" w14:textId="77777777" w:rsidR="00E17F3A" w:rsidRPr="00B84147" w:rsidRDefault="00E17F3A" w:rsidP="00B57F94">
            <w:pPr>
              <w:widowControl w:val="0"/>
              <w:spacing w:before="5" w:after="0" w:line="240" w:lineRule="auto"/>
              <w:rPr>
                <w:rFonts w:eastAsia="Arial Narrow" w:cs="Arial Narrow"/>
                <w:b/>
                <w:spacing w:val="0"/>
              </w:rPr>
            </w:pPr>
          </w:p>
        </w:tc>
        <w:tc>
          <w:tcPr>
            <w:tcW w:w="1717" w:type="dxa"/>
            <w:shd w:val="clear" w:color="auto" w:fill="auto"/>
          </w:tcPr>
          <w:p w14:paraId="6AC55DDA" w14:textId="77777777" w:rsidR="00E17F3A" w:rsidRPr="00B84147" w:rsidRDefault="00E17F3A" w:rsidP="00B57F94">
            <w:pPr>
              <w:widowControl w:val="0"/>
              <w:spacing w:before="5" w:after="0" w:line="240" w:lineRule="auto"/>
              <w:rPr>
                <w:rFonts w:eastAsia="Arial Narrow" w:cs="Arial Narrow"/>
                <w:b/>
                <w:spacing w:val="0"/>
              </w:rPr>
            </w:pPr>
          </w:p>
        </w:tc>
        <w:tc>
          <w:tcPr>
            <w:tcW w:w="5857" w:type="dxa"/>
            <w:shd w:val="clear" w:color="auto" w:fill="auto"/>
          </w:tcPr>
          <w:p w14:paraId="30AE639D" w14:textId="77777777" w:rsidR="00E17F3A" w:rsidRPr="00B84147" w:rsidRDefault="00E17F3A" w:rsidP="00B57F94">
            <w:pPr>
              <w:widowControl w:val="0"/>
              <w:spacing w:before="5" w:after="0" w:line="240" w:lineRule="auto"/>
              <w:rPr>
                <w:rFonts w:eastAsia="Arial Narrow" w:cs="Arial Narrow"/>
                <w:b/>
                <w:spacing w:val="0"/>
              </w:rPr>
            </w:pPr>
          </w:p>
        </w:tc>
      </w:tr>
      <w:tr w:rsidR="00B57F94" w:rsidRPr="00727F07" w14:paraId="42E7F8B4" w14:textId="77777777" w:rsidTr="00356F35">
        <w:tc>
          <w:tcPr>
            <w:tcW w:w="1781" w:type="dxa"/>
            <w:shd w:val="clear" w:color="auto" w:fill="auto"/>
          </w:tcPr>
          <w:p w14:paraId="35FC40FE" w14:textId="77777777" w:rsidR="00B57F94" w:rsidRPr="00B84147" w:rsidRDefault="00B57F94" w:rsidP="00B57F94">
            <w:pPr>
              <w:widowControl w:val="0"/>
              <w:spacing w:before="5" w:after="0" w:line="240" w:lineRule="auto"/>
              <w:rPr>
                <w:rFonts w:eastAsia="Arial Narrow" w:cs="Arial Narrow"/>
                <w:b/>
                <w:spacing w:val="0"/>
              </w:rPr>
            </w:pPr>
          </w:p>
        </w:tc>
        <w:tc>
          <w:tcPr>
            <w:tcW w:w="1717" w:type="dxa"/>
            <w:shd w:val="clear" w:color="auto" w:fill="auto"/>
          </w:tcPr>
          <w:p w14:paraId="29562339" w14:textId="77777777" w:rsidR="00B57F94" w:rsidRPr="00B84147" w:rsidRDefault="00B57F94" w:rsidP="00B57F94">
            <w:pPr>
              <w:widowControl w:val="0"/>
              <w:spacing w:before="5" w:after="0" w:line="240" w:lineRule="auto"/>
              <w:rPr>
                <w:rFonts w:eastAsia="Arial Narrow" w:cs="Arial Narrow"/>
                <w:b/>
                <w:spacing w:val="0"/>
              </w:rPr>
            </w:pPr>
          </w:p>
        </w:tc>
        <w:tc>
          <w:tcPr>
            <w:tcW w:w="5857" w:type="dxa"/>
            <w:shd w:val="clear" w:color="auto" w:fill="auto"/>
          </w:tcPr>
          <w:p w14:paraId="6891F81A" w14:textId="77777777" w:rsidR="00B57F94" w:rsidRPr="00B84147" w:rsidRDefault="00B57F94" w:rsidP="00B57F94">
            <w:pPr>
              <w:widowControl w:val="0"/>
              <w:spacing w:before="5" w:after="0" w:line="240" w:lineRule="auto"/>
              <w:rPr>
                <w:rFonts w:eastAsia="Arial Narrow" w:cs="Arial Narrow"/>
                <w:b/>
                <w:spacing w:val="0"/>
              </w:rPr>
            </w:pPr>
          </w:p>
        </w:tc>
      </w:tr>
      <w:tr w:rsidR="00B57F94" w:rsidRPr="00727F07" w14:paraId="7910A6DD" w14:textId="77777777" w:rsidTr="00356F35">
        <w:tc>
          <w:tcPr>
            <w:tcW w:w="1781" w:type="dxa"/>
            <w:shd w:val="clear" w:color="auto" w:fill="auto"/>
          </w:tcPr>
          <w:p w14:paraId="583CE383" w14:textId="77777777" w:rsidR="00B57F94" w:rsidRPr="00B84147" w:rsidRDefault="00B57F94" w:rsidP="00B57F94">
            <w:pPr>
              <w:widowControl w:val="0"/>
              <w:spacing w:before="5" w:after="0" w:line="240" w:lineRule="auto"/>
              <w:rPr>
                <w:rFonts w:eastAsia="Arial Narrow" w:cs="Arial Narrow"/>
                <w:b/>
                <w:spacing w:val="0"/>
              </w:rPr>
            </w:pPr>
          </w:p>
        </w:tc>
        <w:tc>
          <w:tcPr>
            <w:tcW w:w="1717" w:type="dxa"/>
            <w:shd w:val="clear" w:color="auto" w:fill="auto"/>
          </w:tcPr>
          <w:p w14:paraId="32F0F56D" w14:textId="77777777" w:rsidR="00B57F94" w:rsidRPr="00B84147" w:rsidRDefault="00B57F94" w:rsidP="00B57F94">
            <w:pPr>
              <w:widowControl w:val="0"/>
              <w:spacing w:before="5" w:after="0" w:line="240" w:lineRule="auto"/>
              <w:rPr>
                <w:rFonts w:eastAsia="Arial Narrow" w:cs="Arial Narrow"/>
                <w:b/>
                <w:spacing w:val="0"/>
              </w:rPr>
            </w:pPr>
          </w:p>
        </w:tc>
        <w:tc>
          <w:tcPr>
            <w:tcW w:w="5857" w:type="dxa"/>
            <w:shd w:val="clear" w:color="auto" w:fill="auto"/>
          </w:tcPr>
          <w:p w14:paraId="61043275" w14:textId="77777777" w:rsidR="00B57F94" w:rsidRPr="00B84147" w:rsidRDefault="00B57F94" w:rsidP="00B57F94">
            <w:pPr>
              <w:widowControl w:val="0"/>
              <w:spacing w:before="5" w:after="0" w:line="240" w:lineRule="auto"/>
              <w:rPr>
                <w:rFonts w:eastAsia="Arial Narrow" w:cs="Arial Narrow"/>
                <w:b/>
                <w:spacing w:val="0"/>
              </w:rPr>
            </w:pPr>
          </w:p>
        </w:tc>
      </w:tr>
      <w:bookmarkEnd w:id="9"/>
    </w:tbl>
    <w:p w14:paraId="5535AD75" w14:textId="4CBD8A69" w:rsidR="00337BA5" w:rsidRDefault="00337BA5">
      <w:pPr>
        <w:spacing w:after="160" w:line="259" w:lineRule="auto"/>
        <w:rPr>
          <w:rFonts w:eastAsiaTheme="majorEastAsia" w:cstheme="majorBidi"/>
          <w:b/>
          <w:color w:val="009ED1"/>
          <w:spacing w:val="-8"/>
        </w:rPr>
      </w:pPr>
    </w:p>
    <w:p w14:paraId="1E73CDCA" w14:textId="77777777" w:rsidR="003F69B4" w:rsidRDefault="003F69B4">
      <w:pPr>
        <w:spacing w:after="160" w:line="259" w:lineRule="auto"/>
        <w:rPr>
          <w:rFonts w:eastAsiaTheme="majorEastAsia" w:cstheme="majorBidi"/>
          <w:b/>
          <w:color w:val="009ED1"/>
          <w:spacing w:val="-8"/>
        </w:rPr>
      </w:pPr>
      <w:r>
        <w:rPr>
          <w:rFonts w:eastAsiaTheme="majorEastAsia" w:cstheme="majorBidi"/>
          <w:b/>
          <w:color w:val="009ED1"/>
          <w:spacing w:val="-8"/>
        </w:rPr>
        <w:br w:type="page"/>
      </w:r>
    </w:p>
    <w:p w14:paraId="2F1D3CBA" w14:textId="2F943EDE" w:rsidR="007C087B" w:rsidRDefault="007C087B" w:rsidP="0023302A">
      <w:pPr>
        <w:pStyle w:val="Heading2"/>
        <w:spacing w:before="0" w:after="240"/>
        <w:rPr>
          <w:rFonts w:eastAsia="Times New Roman" w:cs="Times New Roman"/>
          <w:spacing w:val="0"/>
        </w:rPr>
      </w:pPr>
      <w:bookmarkStart w:id="10" w:name="_Toc187052929"/>
      <w:bookmarkStart w:id="11" w:name="_Toc187924127"/>
      <w:r w:rsidRPr="36A80A07">
        <w:rPr>
          <w:rStyle w:val="normaltextrun"/>
        </w:rPr>
        <w:lastRenderedPageBreak/>
        <w:t>1.1 – Vetting Overview</w:t>
      </w:r>
      <w:bookmarkEnd w:id="10"/>
      <w:bookmarkEnd w:id="11"/>
      <w:r w:rsidRPr="36A80A07">
        <w:rPr>
          <w:rStyle w:val="eop"/>
          <w:b w:val="0"/>
        </w:rPr>
        <w:t> </w:t>
      </w:r>
    </w:p>
    <w:p w14:paraId="2A472BB9" w14:textId="4D333229" w:rsidR="001E708D" w:rsidRPr="00216A79" w:rsidRDefault="001E708D" w:rsidP="006807A1">
      <w:pPr>
        <w:rPr>
          <w:rFonts w:eastAsia="Times New Roman" w:cs="Times New Roman"/>
          <w:spacing w:val="0"/>
        </w:rPr>
      </w:pPr>
      <w:r w:rsidRPr="00216A79">
        <w:rPr>
          <w:rFonts w:eastAsia="Times New Roman" w:cs="Times New Roman"/>
          <w:spacing w:val="0"/>
        </w:rPr>
        <w:t>Effective Government operations require that the Federal Government’s workforce be trusted to deliver the mission, provide excellent service, and demonstrate effective stewardship of taxpayer funds.</w:t>
      </w:r>
      <w:r w:rsidRPr="00216A79">
        <w:rPr>
          <w:rFonts w:eastAsia="Times New Roman" w:cs="Times New Roman"/>
          <w:spacing w:val="0"/>
          <w:vertAlign w:val="superscript"/>
        </w:rPr>
        <w:footnoteReference w:id="2"/>
      </w:r>
      <w:r w:rsidRPr="00216A79">
        <w:rPr>
          <w:rFonts w:eastAsia="Times New Roman" w:cs="Times New Roman"/>
          <w:spacing w:val="0"/>
        </w:rPr>
        <w:t xml:space="preserve"> There are a number of elements of personnel vetting which are addressed in the </w:t>
      </w:r>
      <w:r w:rsidRPr="00216A79">
        <w:rPr>
          <w:rFonts w:eastAsia="Times New Roman" w:cs="Times New Roman"/>
          <w:b/>
          <w:bCs/>
          <w:spacing w:val="0"/>
        </w:rPr>
        <w:t>Trusted Workforce 2.0 Federal Personnel Vetting Guidelines</w:t>
      </w:r>
      <w:r w:rsidRPr="00216A79">
        <w:rPr>
          <w:rFonts w:eastAsia="Times New Roman" w:cs="Times New Roman"/>
          <w:spacing w:val="0"/>
        </w:rPr>
        <w:t xml:space="preserve"> and defined in detail in subordinate policy issuances on investigative, adjudicative, and performance management requirements. These elements are:</w:t>
      </w:r>
    </w:p>
    <w:p w14:paraId="2EDB38C1" w14:textId="77777777" w:rsidR="0043624D" w:rsidRDefault="001E708D" w:rsidP="006374E3">
      <w:pPr>
        <w:pStyle w:val="Heading4"/>
        <w:spacing w:before="0" w:after="60"/>
      </w:pPr>
      <w:r>
        <w:t>Position Designation</w:t>
      </w:r>
    </w:p>
    <w:p w14:paraId="794D47DD" w14:textId="03C7DFEF" w:rsidR="00AC1BDD" w:rsidRPr="00BE09BB" w:rsidRDefault="001E708D" w:rsidP="00A50D13">
      <w:pPr>
        <w:rPr>
          <w:rFonts w:eastAsia="Times New Roman" w:cs="Times New Roman"/>
          <w:spacing w:val="0"/>
        </w:rPr>
      </w:pPr>
      <w:r w:rsidRPr="00BE09BB">
        <w:rPr>
          <w:rFonts w:eastAsia="Times New Roman" w:cs="Times New Roman"/>
          <w:bCs/>
          <w:iCs/>
          <w:spacing w:val="0"/>
        </w:rPr>
        <w:t>Position designations use standard criteria and business rules to make uniform and consistent position sensitivity and risk determinations to ensure that the individual holding that position undergoes an appropriate investigation commensurate with the identified risk of the position.</w:t>
      </w:r>
      <w:r w:rsidRPr="00BE09BB">
        <w:rPr>
          <w:rFonts w:eastAsia="Times New Roman" w:cs="Times New Roman"/>
          <w:b/>
          <w:i/>
          <w:spacing w:val="0"/>
        </w:rPr>
        <w:t xml:space="preserve"> </w:t>
      </w:r>
      <w:r w:rsidRPr="00BE09BB">
        <w:rPr>
          <w:rFonts w:eastAsia="Times New Roman" w:cs="Times New Roman"/>
          <w:spacing w:val="0"/>
        </w:rPr>
        <w:t>OPM and the Office of the Director of National Intelligence (ODNI) jointly issue the Position Designation System (PDS), which is used by agencies to designate a position’s risk and sensitivity level. Position designation is critical in vetting because through it, an agency determines the appropriate level of vetting for the position. In accordance with 5 C</w:t>
      </w:r>
      <w:r w:rsidR="00B0416F">
        <w:rPr>
          <w:rFonts w:eastAsia="Times New Roman" w:cs="Times New Roman"/>
          <w:spacing w:val="0"/>
        </w:rPr>
        <w:t>.</w:t>
      </w:r>
      <w:r w:rsidRPr="00BE09BB">
        <w:rPr>
          <w:rFonts w:eastAsia="Times New Roman" w:cs="Times New Roman"/>
          <w:spacing w:val="0"/>
        </w:rPr>
        <w:t>F</w:t>
      </w:r>
      <w:r w:rsidR="00B0416F">
        <w:rPr>
          <w:rFonts w:eastAsia="Times New Roman" w:cs="Times New Roman"/>
          <w:spacing w:val="0"/>
        </w:rPr>
        <w:t>.</w:t>
      </w:r>
      <w:r w:rsidRPr="00BE09BB">
        <w:rPr>
          <w:rFonts w:eastAsia="Times New Roman" w:cs="Times New Roman"/>
          <w:spacing w:val="0"/>
        </w:rPr>
        <w:t>R</w:t>
      </w:r>
      <w:r w:rsidR="00B0416F">
        <w:rPr>
          <w:rFonts w:eastAsia="Times New Roman" w:cs="Times New Roman"/>
          <w:spacing w:val="0"/>
        </w:rPr>
        <w:t>.</w:t>
      </w:r>
      <w:r w:rsidRPr="00216A79">
        <w:rPr>
          <w:rFonts w:eastAsia="Times New Roman" w:cs="Times New Roman"/>
          <w:spacing w:val="0"/>
        </w:rPr>
        <w:t xml:space="preserve"> </w:t>
      </w:r>
      <w:r w:rsidR="50AF06D6" w:rsidRPr="548D0660">
        <w:rPr>
          <w:rFonts w:eastAsia="Times New Roman" w:cs="Times New Roman"/>
          <w:color w:val="000000" w:themeColor="text1"/>
        </w:rPr>
        <w:t>§</w:t>
      </w:r>
      <w:r w:rsidRPr="00BE09BB">
        <w:rPr>
          <w:rFonts w:eastAsia="Times New Roman" w:cs="Times New Roman"/>
          <w:color w:val="000000" w:themeColor="text1"/>
        </w:rPr>
        <w:t xml:space="preserve"> </w:t>
      </w:r>
      <w:r w:rsidRPr="00BE09BB">
        <w:rPr>
          <w:rFonts w:eastAsia="Times New Roman" w:cs="Times New Roman"/>
          <w:spacing w:val="0"/>
        </w:rPr>
        <w:t>731.106, agencies must use the PDS, or associated Position Designation Tool which is available within the National Background Investigations Services (NBIS)</w:t>
      </w:r>
      <w:r w:rsidRPr="00216A79">
        <w:rPr>
          <w:vertAlign w:val="superscript"/>
        </w:rPr>
        <w:footnoteReference w:id="3"/>
      </w:r>
      <w:r w:rsidRPr="00BE09BB">
        <w:rPr>
          <w:rFonts w:eastAsia="Times New Roman" w:cs="Times New Roman"/>
          <w:spacing w:val="0"/>
        </w:rPr>
        <w:t>, to designate position risk for civil service, contractor, and DOD nonappropriated funds position. Part 1400 of title 5 CFR addresses the requirement by agencies for using the PDS to designate position sensitivity. The requirement for using the PDS is reiterated in the Trusted Workforce 2.0 Federal Personnel Vetting Management Standards as is the requirement for recordkeeping and the responsibility of agencies for ensuring proper training of personnel tasked with doing position designation.</w:t>
      </w:r>
    </w:p>
    <w:p w14:paraId="54EBDBBD" w14:textId="77777777" w:rsidR="000F7DC5" w:rsidRDefault="001E708D" w:rsidP="00682EBB">
      <w:pPr>
        <w:pStyle w:val="Heading4"/>
        <w:spacing w:before="0" w:after="60"/>
      </w:pPr>
      <w:r w:rsidRPr="00BE09BB">
        <w:t>Determining Previous Vetting</w:t>
      </w:r>
    </w:p>
    <w:p w14:paraId="0CB3EC44" w14:textId="50AF6B74" w:rsidR="000F7DC5" w:rsidRPr="00BE09BB" w:rsidRDefault="001E708D" w:rsidP="00EA12EA">
      <w:pPr>
        <w:rPr>
          <w:rFonts w:eastAsia="Times New Roman" w:cs="Times New Roman"/>
          <w:spacing w:val="0"/>
        </w:rPr>
      </w:pPr>
      <w:r w:rsidRPr="00BE09BB">
        <w:rPr>
          <w:rFonts w:eastAsia="Times New Roman" w:cs="Times New Roman"/>
          <w:spacing w:val="0"/>
        </w:rPr>
        <w:t xml:space="preserve">Agencies must review Government-wide high- and low-side record repositories to determine if an individual </w:t>
      </w:r>
      <w:r w:rsidR="004D27A9" w:rsidRPr="00BE09BB">
        <w:rPr>
          <w:rFonts w:eastAsia="Times New Roman" w:cs="Times New Roman"/>
        </w:rPr>
        <w:t>ha</w:t>
      </w:r>
      <w:r w:rsidR="004D27A9" w:rsidRPr="548D0660">
        <w:rPr>
          <w:rFonts w:eastAsia="Times New Roman" w:cs="Times New Roman"/>
        </w:rPr>
        <w:t>s</w:t>
      </w:r>
      <w:r w:rsidR="004D27A9" w:rsidRPr="00BE09BB">
        <w:rPr>
          <w:rFonts w:eastAsia="Times New Roman" w:cs="Times New Roman"/>
        </w:rPr>
        <w:t xml:space="preserve"> </w:t>
      </w:r>
      <w:r w:rsidRPr="00BE09BB">
        <w:rPr>
          <w:rFonts w:eastAsia="Times New Roman" w:cs="Times New Roman"/>
          <w:spacing w:val="0"/>
        </w:rPr>
        <w:t xml:space="preserve">been previously </w:t>
      </w:r>
      <w:r w:rsidR="002C6226" w:rsidRPr="00BE09BB">
        <w:rPr>
          <w:rFonts w:eastAsia="Times New Roman" w:cs="Times New Roman"/>
        </w:rPr>
        <w:t>vett</w:t>
      </w:r>
      <w:r w:rsidR="00A23FF2" w:rsidRPr="548D0660">
        <w:rPr>
          <w:rFonts w:eastAsia="Times New Roman" w:cs="Times New Roman"/>
        </w:rPr>
        <w:t>ed</w:t>
      </w:r>
      <w:r w:rsidR="002C6226" w:rsidRPr="00BE09BB">
        <w:rPr>
          <w:rFonts w:eastAsia="Times New Roman" w:cs="Times New Roman"/>
        </w:rPr>
        <w:t xml:space="preserve"> </w:t>
      </w:r>
      <w:r w:rsidRPr="00BE09BB">
        <w:rPr>
          <w:rFonts w:eastAsia="Times New Roman" w:cs="Times New Roman"/>
          <w:spacing w:val="0"/>
        </w:rPr>
        <w:t xml:space="preserve">for a trust determination. D/As must review whether the prior level of personnel vetting meets or exceeds the investigative requirements of the position and determine what, if any, additional personnel vetting is required. In addition to policy requirements and guidance issued jointly by OPM and ODNI, </w:t>
      </w:r>
      <w:r w:rsidR="00DA614C">
        <w:rPr>
          <w:rFonts w:eastAsia="Times New Roman" w:cs="Times New Roman"/>
          <w:spacing w:val="0"/>
        </w:rPr>
        <w:t>5 C.F.R.</w:t>
      </w:r>
      <w:r w:rsidRPr="00BE09BB">
        <w:rPr>
          <w:rFonts w:eastAsia="Times New Roman" w:cs="Times New Roman"/>
          <w:spacing w:val="0"/>
        </w:rPr>
        <w:t xml:space="preserve"> §</w:t>
      </w:r>
      <w:r w:rsidR="7FDEF423" w:rsidRPr="00216A79">
        <w:rPr>
          <w:rFonts w:eastAsia="Times New Roman" w:cs="Times New Roman"/>
          <w:spacing w:val="0"/>
        </w:rPr>
        <w:t xml:space="preserve"> </w:t>
      </w:r>
      <w:r w:rsidRPr="00BE09BB">
        <w:rPr>
          <w:rFonts w:eastAsia="Times New Roman" w:cs="Times New Roman"/>
          <w:spacing w:val="0"/>
        </w:rPr>
        <w:t>731.104 specifies requirements for reciprocally accepting prior investigations and adjudications.</w:t>
      </w:r>
    </w:p>
    <w:p w14:paraId="00A28AC5" w14:textId="77777777" w:rsidR="000F7DC5" w:rsidRDefault="001E708D" w:rsidP="00682EBB">
      <w:pPr>
        <w:pStyle w:val="Heading4"/>
        <w:spacing w:before="0" w:after="60"/>
      </w:pPr>
      <w:r w:rsidRPr="00BE09BB">
        <w:t>Vetting Questionnaire</w:t>
      </w:r>
    </w:p>
    <w:p w14:paraId="5D4DA934" w14:textId="1979C72D" w:rsidR="000F7DC5" w:rsidRPr="00064272" w:rsidRDefault="001E708D" w:rsidP="00064272">
      <w:pPr>
        <w:rPr>
          <w:rFonts w:eastAsia="Times New Roman" w:cs="Times New Roman"/>
          <w:spacing w:val="0"/>
        </w:rPr>
      </w:pPr>
      <w:r w:rsidRPr="00064272">
        <w:rPr>
          <w:rFonts w:eastAsia="Times New Roman" w:cs="Times New Roman"/>
          <w:spacing w:val="0"/>
        </w:rPr>
        <w:t>An initial collection of relevant background information by the individual is required, as well as an updated collection of relevant background information</w:t>
      </w:r>
      <w:r w:rsidR="004007B0" w:rsidRPr="00064272">
        <w:rPr>
          <w:rFonts w:eastAsia="Times New Roman" w:cs="Times New Roman"/>
          <w:spacing w:val="0"/>
        </w:rPr>
        <w:t>,</w:t>
      </w:r>
      <w:r w:rsidRPr="00064272">
        <w:rPr>
          <w:rFonts w:eastAsia="Times New Roman" w:cs="Times New Roman"/>
          <w:spacing w:val="0"/>
        </w:rPr>
        <w:t xml:space="preserve"> if necessary, together with relevant investigative information, to make a trust determination. OPM, working closely with ODNI, sponsors the Personnel Vetting Questionnaire information collection, and predecessor Standard Forms, which are used in conducting personnel vetting investigations. Responses to the questionnaire are used to make trust determinations associated with an individual’s initial and ongoing suitability or fitness and/or eligibility to hold a sensitive position, access classified </w:t>
      </w:r>
      <w:r w:rsidRPr="00064272">
        <w:rPr>
          <w:rFonts w:eastAsia="Times New Roman" w:cs="Times New Roman"/>
          <w:spacing w:val="0"/>
        </w:rPr>
        <w:lastRenderedPageBreak/>
        <w:t>information, or for physical or logical access to federally controlled facilities or information systems.</w:t>
      </w:r>
    </w:p>
    <w:p w14:paraId="2E19C7AC" w14:textId="77777777" w:rsidR="000F7DC5" w:rsidRDefault="001E708D" w:rsidP="00682EBB">
      <w:pPr>
        <w:pStyle w:val="Heading4"/>
        <w:spacing w:before="0" w:after="60"/>
      </w:pPr>
      <w:r w:rsidRPr="00BE09BB">
        <w:t>Screening</w:t>
      </w:r>
    </w:p>
    <w:p w14:paraId="1E5E3493" w14:textId="46116273" w:rsidR="000F7DC5" w:rsidRPr="00BE09BB" w:rsidRDefault="001E708D" w:rsidP="005E5889">
      <w:pPr>
        <w:rPr>
          <w:rFonts w:eastAsia="Times New Roman" w:cs="Times New Roman"/>
          <w:spacing w:val="0"/>
        </w:rPr>
      </w:pPr>
      <w:r w:rsidRPr="00BE09BB">
        <w:rPr>
          <w:rFonts w:eastAsia="Times New Roman" w:cs="Times New Roman"/>
          <w:spacing w:val="0"/>
        </w:rPr>
        <w:t xml:space="preserve">Screening involves review of information available to the agency through the application, hiring, and vetting process to identify information of potential adjudicative concern. Agencies may conduct screening prior to an investigation and up to the point of receiving </w:t>
      </w:r>
      <w:r w:rsidRPr="00BE09BB">
        <w:rPr>
          <w:rFonts w:eastAsia="Times New Roman" w:cs="Times New Roman"/>
        </w:rPr>
        <w:t>h</w:t>
      </w:r>
      <w:r w:rsidRPr="00BE09BB">
        <w:rPr>
          <w:rFonts w:eastAsia="Times New Roman" w:cs="Times New Roman"/>
          <w:spacing w:val="0"/>
        </w:rPr>
        <w:t xml:space="preserve">igh </w:t>
      </w:r>
      <w:r w:rsidRPr="00BE09BB">
        <w:rPr>
          <w:rFonts w:eastAsia="Times New Roman" w:cs="Times New Roman"/>
        </w:rPr>
        <w:t>y</w:t>
      </w:r>
      <w:r w:rsidRPr="00BE09BB">
        <w:rPr>
          <w:rFonts w:eastAsia="Times New Roman" w:cs="Times New Roman"/>
          <w:spacing w:val="0"/>
        </w:rPr>
        <w:t xml:space="preserve">ield </w:t>
      </w:r>
      <w:r w:rsidRPr="00BE09BB">
        <w:rPr>
          <w:rFonts w:eastAsia="Times New Roman" w:cs="Times New Roman"/>
        </w:rPr>
        <w:t>c</w:t>
      </w:r>
      <w:r w:rsidRPr="00BE09BB">
        <w:rPr>
          <w:rFonts w:eastAsia="Times New Roman" w:cs="Times New Roman"/>
          <w:spacing w:val="0"/>
        </w:rPr>
        <w:t>hecks</w:t>
      </w:r>
      <w:r w:rsidR="4276CCC9" w:rsidRPr="00BE09BB">
        <w:rPr>
          <w:rFonts w:eastAsia="Times New Roman" w:cs="Times New Roman"/>
          <w:spacing w:val="0"/>
        </w:rPr>
        <w:t xml:space="preserve"> (HYC) </w:t>
      </w:r>
      <w:r w:rsidRPr="00BE09BB">
        <w:rPr>
          <w:rFonts w:eastAsia="Times New Roman" w:cs="Times New Roman"/>
          <w:spacing w:val="0"/>
        </w:rPr>
        <w:t xml:space="preserve">through the investigative process. If through screening the agency identifies information that may lead to the individual being unsuitable, unfit, or ineligible to hold a sensitive position, access classified information, or hold a personal identity credential, the agency may act upon it in accordance with applicable laws, regulations, and policies. </w:t>
      </w:r>
      <w:r w:rsidRPr="00BE09BB">
        <w:rPr>
          <w:rFonts w:eastAsia="Times New Roman" w:cs="Times New Roman"/>
        </w:rPr>
        <w:t xml:space="preserve">This </w:t>
      </w:r>
      <w:r w:rsidRPr="00BE09BB">
        <w:rPr>
          <w:rFonts w:eastAsia="Times New Roman" w:cs="Times New Roman"/>
          <w:spacing w:val="0"/>
        </w:rPr>
        <w:t xml:space="preserve">manual provides </w:t>
      </w:r>
      <w:r w:rsidRPr="00BE09BB">
        <w:rPr>
          <w:rFonts w:eastAsia="Times New Roman" w:cs="Times New Roman"/>
        </w:rPr>
        <w:t xml:space="preserve">implementing </w:t>
      </w:r>
      <w:r w:rsidRPr="00BE09BB">
        <w:rPr>
          <w:rFonts w:eastAsia="Times New Roman" w:cs="Times New Roman"/>
          <w:spacing w:val="0"/>
        </w:rPr>
        <w:t xml:space="preserve">guidance </w:t>
      </w:r>
      <w:r w:rsidRPr="00BE09BB">
        <w:rPr>
          <w:rFonts w:eastAsia="Times New Roman" w:cs="Times New Roman"/>
        </w:rPr>
        <w:t xml:space="preserve">in the form of a model process, </w:t>
      </w:r>
      <w:r w:rsidRPr="00BE09BB">
        <w:rPr>
          <w:rFonts w:eastAsia="Times New Roman" w:cs="Times New Roman"/>
          <w:spacing w:val="0"/>
        </w:rPr>
        <w:t xml:space="preserve">for agencies to address suitability or fitness issues that may develop prior to the required investigation (see </w:t>
      </w:r>
      <w:r w:rsidR="004B2E2A">
        <w:rPr>
          <w:rFonts w:eastAsia="Times New Roman" w:cs="Times New Roman"/>
          <w:spacing w:val="0"/>
        </w:rPr>
        <w:t xml:space="preserve">5 C.F.R. </w:t>
      </w:r>
      <w:r w:rsidRPr="00BE09BB">
        <w:rPr>
          <w:rFonts w:eastAsia="Times New Roman" w:cs="Times New Roman"/>
          <w:spacing w:val="0"/>
        </w:rPr>
        <w:t>§</w:t>
      </w:r>
      <w:r w:rsidR="6AE44B63" w:rsidRPr="00216A79">
        <w:rPr>
          <w:rFonts w:eastAsia="Times New Roman" w:cs="Times New Roman"/>
          <w:spacing w:val="0"/>
        </w:rPr>
        <w:t xml:space="preserve"> </w:t>
      </w:r>
      <w:r w:rsidRPr="00BE09BB">
        <w:rPr>
          <w:rFonts w:eastAsia="Times New Roman" w:cs="Times New Roman"/>
          <w:spacing w:val="0"/>
        </w:rPr>
        <w:t>731.106(c)(3)).</w:t>
      </w:r>
    </w:p>
    <w:p w14:paraId="6202D6E1" w14:textId="157E39A5" w:rsidR="000F7DC5" w:rsidRDefault="001E708D" w:rsidP="00682EBB">
      <w:pPr>
        <w:pStyle w:val="Heading4"/>
        <w:spacing w:before="0" w:after="60"/>
      </w:pPr>
      <w:r w:rsidRPr="00BE09BB">
        <w:t xml:space="preserve">Preliminary </w:t>
      </w:r>
      <w:r w:rsidR="000F7DC5">
        <w:t>D</w:t>
      </w:r>
      <w:r w:rsidRPr="00BE09BB">
        <w:t>etermination</w:t>
      </w:r>
    </w:p>
    <w:p w14:paraId="17290E03" w14:textId="567919C4" w:rsidR="003C66CE" w:rsidRPr="00BE09BB" w:rsidRDefault="001E708D" w:rsidP="005E5889">
      <w:pPr>
        <w:rPr>
          <w:rFonts w:eastAsia="Times New Roman" w:cs="Times New Roman"/>
          <w:spacing w:val="0"/>
        </w:rPr>
      </w:pPr>
      <w:r w:rsidRPr="00BE09BB">
        <w:rPr>
          <w:rFonts w:eastAsia="Times New Roman" w:cs="Times New Roman"/>
          <w:spacing w:val="0"/>
        </w:rPr>
        <w:t xml:space="preserve">A preliminary determination is an internal agency decision based upon the results of </w:t>
      </w:r>
      <w:r w:rsidR="01C88A0C" w:rsidRPr="00BE09BB">
        <w:rPr>
          <w:rFonts w:eastAsia="Times New Roman" w:cs="Times New Roman"/>
          <w:spacing w:val="0"/>
        </w:rPr>
        <w:t>HYCs</w:t>
      </w:r>
      <w:r w:rsidRPr="00BE09BB">
        <w:rPr>
          <w:rFonts w:eastAsia="Times New Roman" w:cs="Times New Roman"/>
          <w:spacing w:val="0"/>
        </w:rPr>
        <w:t xml:space="preserve"> </w:t>
      </w:r>
      <w:r w:rsidR="00A23DD0" w:rsidRPr="00BE09BB">
        <w:rPr>
          <w:rFonts w:eastAsia="Times New Roman" w:cs="Times New Roman"/>
        </w:rPr>
        <w:t>conduc</w:t>
      </w:r>
      <w:r w:rsidR="00A23DD0" w:rsidRPr="548D0660">
        <w:rPr>
          <w:rFonts w:eastAsia="Times New Roman" w:cs="Times New Roman"/>
        </w:rPr>
        <w:t>ted</w:t>
      </w:r>
      <w:r w:rsidR="00A23DD0" w:rsidRPr="00BE09BB">
        <w:rPr>
          <w:rFonts w:eastAsia="Times New Roman" w:cs="Times New Roman"/>
        </w:rPr>
        <w:t xml:space="preserve"> </w:t>
      </w:r>
      <w:r w:rsidRPr="00BE09BB">
        <w:rPr>
          <w:rFonts w:eastAsia="Times New Roman" w:cs="Times New Roman"/>
          <w:spacing w:val="0"/>
        </w:rPr>
        <w:t>during the initial vetting process. H</w:t>
      </w:r>
      <w:r w:rsidR="693070F1" w:rsidRPr="00BE09BB">
        <w:rPr>
          <w:rFonts w:eastAsia="Times New Roman" w:cs="Times New Roman"/>
          <w:spacing w:val="0"/>
        </w:rPr>
        <w:t>YCs</w:t>
      </w:r>
      <w:r w:rsidRPr="00BE09BB">
        <w:rPr>
          <w:rFonts w:eastAsia="Times New Roman" w:cs="Times New Roman"/>
          <w:spacing w:val="0"/>
        </w:rPr>
        <w:t xml:space="preserve"> are a set of automated record checks, determined by investigative tier, the results of which may lead the agency to determine it can accept the risk of allowing an individual to enter on duty in advance of completion of the required level of investigation. For the purpose of suitability or fitness, preliminary determinations are made by agencies in the same fashion as are trust determinations, meaning that agencies making preliminary determinations do so by applying the adjudicative criteria in </w:t>
      </w:r>
      <w:r w:rsidR="004B2E2A">
        <w:rPr>
          <w:rFonts w:eastAsia="Times New Roman" w:cs="Times New Roman"/>
          <w:spacing w:val="0"/>
        </w:rPr>
        <w:t xml:space="preserve">5 C.F.R. </w:t>
      </w:r>
      <w:r w:rsidRPr="00BE09BB">
        <w:rPr>
          <w:rFonts w:eastAsia="Times New Roman" w:cs="Times New Roman"/>
          <w:spacing w:val="0"/>
        </w:rPr>
        <w:t>§</w:t>
      </w:r>
      <w:r w:rsidR="39A7958B" w:rsidRPr="00216A79">
        <w:rPr>
          <w:rFonts w:eastAsia="Times New Roman" w:cs="Times New Roman"/>
          <w:spacing w:val="0"/>
        </w:rPr>
        <w:t xml:space="preserve"> </w:t>
      </w:r>
      <w:r w:rsidRPr="00BE09BB">
        <w:rPr>
          <w:rFonts w:eastAsia="Times New Roman" w:cs="Times New Roman"/>
          <w:spacing w:val="0"/>
        </w:rPr>
        <w:t>731.202 and as addressed within this Manual.</w:t>
      </w:r>
    </w:p>
    <w:p w14:paraId="1A242C89" w14:textId="77777777" w:rsidR="004F4E95" w:rsidRDefault="001E708D" w:rsidP="00682EBB">
      <w:pPr>
        <w:pStyle w:val="Heading4"/>
        <w:spacing w:before="0" w:after="60"/>
      </w:pPr>
      <w:r w:rsidRPr="00BE09BB">
        <w:t>Investigation</w:t>
      </w:r>
    </w:p>
    <w:p w14:paraId="5A437472" w14:textId="648CA17E" w:rsidR="004F4E95" w:rsidRPr="00BE09BB" w:rsidRDefault="001E708D" w:rsidP="00FF2C8B">
      <w:pPr>
        <w:rPr>
          <w:rFonts w:eastAsia="Times New Roman" w:cs="Times New Roman"/>
          <w:spacing w:val="0"/>
        </w:rPr>
      </w:pPr>
      <w:r w:rsidRPr="00BE09BB">
        <w:rPr>
          <w:rFonts w:eastAsia="Times New Roman" w:cs="Times New Roman"/>
          <w:spacing w:val="0"/>
        </w:rPr>
        <w:t>Investigative service providers (ISPs) provide the requesting agency a report of investigation containing both positive and negative information about the individual for an assessment against the characteristics of a trusted person to make a trust determination. Part 731 of title 5, section 106 establishes subject to investigation requirements for civil service, contractor, and DOD nonappropriated funds positions. OPM and ODNI jointly issue Investigative Standards which establish the scope and coverage of investigative products conducted by authorized ISPs.</w:t>
      </w:r>
    </w:p>
    <w:p w14:paraId="0A8330E1" w14:textId="77777777" w:rsidR="004F4E95" w:rsidRDefault="001E708D" w:rsidP="00682EBB">
      <w:pPr>
        <w:pStyle w:val="Heading4"/>
        <w:spacing w:before="0" w:after="60"/>
      </w:pPr>
      <w:r w:rsidRPr="00BE09BB">
        <w:t>Adjudication</w:t>
      </w:r>
    </w:p>
    <w:p w14:paraId="227A26E3" w14:textId="6086FFD6" w:rsidR="000F7DC5" w:rsidRPr="00BE09BB" w:rsidRDefault="001E708D" w:rsidP="00FF2C8B">
      <w:pPr>
        <w:rPr>
          <w:rFonts w:eastAsia="Times New Roman" w:cs="Times New Roman"/>
          <w:spacing w:val="0"/>
        </w:rPr>
      </w:pPr>
      <w:r w:rsidRPr="00BE09BB">
        <w:rPr>
          <w:rFonts w:eastAsia="Times New Roman" w:cs="Times New Roman"/>
          <w:spacing w:val="0"/>
        </w:rPr>
        <w:t>Adjudication employs a whole-person concept, where applicable, to make a risk-based decision regarding whether an individual demonstrates the characteristics of a trusted person to protect people, property, information, and mission for the position they occupy or seek to occupy. The adjudication process centers on identifying and evaluating an individual’s behaviors and past conduct. Part 731</w:t>
      </w:r>
      <w:r w:rsidR="004B2E2A">
        <w:rPr>
          <w:rFonts w:eastAsia="Times New Roman" w:cs="Times New Roman"/>
          <w:spacing w:val="0"/>
        </w:rPr>
        <w:t xml:space="preserve"> of title 5</w:t>
      </w:r>
      <w:r w:rsidRPr="00BE09BB">
        <w:rPr>
          <w:rFonts w:eastAsia="Times New Roman" w:cs="Times New Roman"/>
          <w:spacing w:val="0"/>
        </w:rPr>
        <w:t xml:space="preserve"> section 202, establishes the criteria for making suitability and fitness determinations for the civil service. In accordance with </w:t>
      </w:r>
      <w:r w:rsidR="00B0416F">
        <w:rPr>
          <w:rFonts w:eastAsia="Times New Roman" w:cs="Times New Roman"/>
          <w:spacing w:val="0"/>
        </w:rPr>
        <w:t>E.O.</w:t>
      </w:r>
      <w:r w:rsidRPr="00BE09BB">
        <w:rPr>
          <w:rFonts w:eastAsia="Times New Roman" w:cs="Times New Roman"/>
          <w:spacing w:val="0"/>
        </w:rPr>
        <w:t xml:space="preserve"> 13488, as amended, agency heads retain discretion for establishing fitness standards for the contractor and DOD nonappropriated funds workforces but with due regard to 5 C</w:t>
      </w:r>
      <w:r w:rsidR="004B2E2A">
        <w:rPr>
          <w:rFonts w:eastAsia="Times New Roman" w:cs="Times New Roman"/>
          <w:spacing w:val="0"/>
        </w:rPr>
        <w:t>.</w:t>
      </w:r>
      <w:r w:rsidRPr="00BE09BB">
        <w:rPr>
          <w:rFonts w:eastAsia="Times New Roman" w:cs="Times New Roman"/>
          <w:spacing w:val="0"/>
        </w:rPr>
        <w:t>F</w:t>
      </w:r>
      <w:r w:rsidR="004B2E2A">
        <w:rPr>
          <w:rFonts w:eastAsia="Times New Roman" w:cs="Times New Roman"/>
          <w:spacing w:val="0"/>
        </w:rPr>
        <w:t>.</w:t>
      </w:r>
      <w:r w:rsidRPr="00BE09BB">
        <w:rPr>
          <w:rFonts w:eastAsia="Times New Roman" w:cs="Times New Roman"/>
          <w:spacing w:val="0"/>
        </w:rPr>
        <w:t>R</w:t>
      </w:r>
      <w:r w:rsidR="004B2E2A">
        <w:rPr>
          <w:rFonts w:eastAsia="Times New Roman" w:cs="Times New Roman"/>
          <w:spacing w:val="0"/>
        </w:rPr>
        <w:t>.</w:t>
      </w:r>
      <w:r w:rsidRPr="00BE09BB">
        <w:rPr>
          <w:rFonts w:eastAsia="Times New Roman" w:cs="Times New Roman"/>
          <w:spacing w:val="0"/>
        </w:rPr>
        <w:t xml:space="preserve"> </w:t>
      </w:r>
      <w:r w:rsidR="6E642196" w:rsidRPr="548D0660">
        <w:rPr>
          <w:rFonts w:eastAsia="Times New Roman" w:cs="Times New Roman"/>
          <w:color w:val="000000" w:themeColor="text1"/>
        </w:rPr>
        <w:t xml:space="preserve">§ </w:t>
      </w:r>
      <w:r w:rsidRPr="00BE09BB">
        <w:rPr>
          <w:rFonts w:eastAsia="Times New Roman" w:cs="Times New Roman"/>
          <w:spacing w:val="0"/>
        </w:rPr>
        <w:t xml:space="preserve">731 and other OPM issuances, including this Manual. For agencies to make fitness determinations on the contractor and DOD nonappropriated fund workforces in an equivalent manner to suitability </w:t>
      </w:r>
      <w:r w:rsidRPr="00BE09BB">
        <w:rPr>
          <w:rFonts w:eastAsia="Times New Roman" w:cs="Times New Roman"/>
          <w:spacing w:val="0"/>
        </w:rPr>
        <w:lastRenderedPageBreak/>
        <w:t xml:space="preserve">and fitness determinations on civil service positions, they should follow the guidance outlined within this Manual. </w:t>
      </w:r>
    </w:p>
    <w:p w14:paraId="1F8767A5" w14:textId="77777777" w:rsidR="000F7DC5" w:rsidRDefault="001E708D" w:rsidP="00682EBB">
      <w:pPr>
        <w:pStyle w:val="Heading4"/>
        <w:spacing w:before="0" w:after="60"/>
      </w:pPr>
      <w:r w:rsidRPr="00BE09BB">
        <w:t>Federal Personnel Vetting Record</w:t>
      </w:r>
    </w:p>
    <w:p w14:paraId="1D5288E5" w14:textId="38F0D619" w:rsidR="000F7DC5" w:rsidRPr="00BE09BB" w:rsidRDefault="001E708D" w:rsidP="00FF2C8B">
      <w:pPr>
        <w:rPr>
          <w:rFonts w:eastAsia="Times New Roman" w:cs="Times New Roman"/>
          <w:spacing w:val="0"/>
        </w:rPr>
      </w:pPr>
      <w:r w:rsidRPr="00BE09BB">
        <w:rPr>
          <w:rFonts w:eastAsia="Times New Roman" w:cs="Times New Roman"/>
          <w:spacing w:val="0"/>
        </w:rPr>
        <w:t>Agencies must record personnel vetting determinations, to include investigative items and adjudicative information, in the government-wide repositories and the agency’s internal records for increased mobility and transparency. OPM and ODNI have established timeliness measures via the Trusted Workforce 2.0 Performance Management Standards and subordinate documents. Additionally, 5 C</w:t>
      </w:r>
      <w:r w:rsidR="00064272">
        <w:rPr>
          <w:rFonts w:eastAsia="Times New Roman" w:cs="Times New Roman"/>
          <w:spacing w:val="0"/>
        </w:rPr>
        <w:t>.</w:t>
      </w:r>
      <w:r w:rsidRPr="00BE09BB">
        <w:rPr>
          <w:rFonts w:eastAsia="Times New Roman" w:cs="Times New Roman"/>
          <w:spacing w:val="0"/>
        </w:rPr>
        <w:t>F</w:t>
      </w:r>
      <w:r w:rsidR="00064272">
        <w:rPr>
          <w:rFonts w:eastAsia="Times New Roman" w:cs="Times New Roman"/>
          <w:spacing w:val="0"/>
        </w:rPr>
        <w:t>.</w:t>
      </w:r>
      <w:r w:rsidRPr="00BE09BB">
        <w:rPr>
          <w:rFonts w:eastAsia="Times New Roman" w:cs="Times New Roman"/>
          <w:spacing w:val="0"/>
        </w:rPr>
        <w:t>R</w:t>
      </w:r>
      <w:r w:rsidR="00064272">
        <w:rPr>
          <w:rFonts w:eastAsia="Times New Roman" w:cs="Times New Roman"/>
          <w:spacing w:val="0"/>
        </w:rPr>
        <w:t>.</w:t>
      </w:r>
      <w:r w:rsidRPr="00216A79">
        <w:rPr>
          <w:rFonts w:eastAsia="Times New Roman" w:cs="Times New Roman"/>
          <w:spacing w:val="0"/>
        </w:rPr>
        <w:t xml:space="preserve"> </w:t>
      </w:r>
      <w:r w:rsidR="344BC6E8" w:rsidRPr="548D0660">
        <w:rPr>
          <w:rFonts w:eastAsia="Times New Roman" w:cs="Times New Roman"/>
          <w:color w:val="000000" w:themeColor="text1"/>
        </w:rPr>
        <w:t>§</w:t>
      </w:r>
      <w:r w:rsidRPr="00BE09BB">
        <w:rPr>
          <w:rFonts w:eastAsia="Times New Roman" w:cs="Times New Roman"/>
          <w:color w:val="000000" w:themeColor="text1"/>
        </w:rPr>
        <w:t xml:space="preserve"> </w:t>
      </w:r>
      <w:r w:rsidRPr="00BE09BB">
        <w:rPr>
          <w:rFonts w:eastAsia="Times New Roman" w:cs="Times New Roman"/>
          <w:spacing w:val="0"/>
        </w:rPr>
        <w:t xml:space="preserve">731.203 establishes timeliness expectations for reporting suitability actions. </w:t>
      </w:r>
    </w:p>
    <w:p w14:paraId="6D750E69" w14:textId="34BAE69D" w:rsidR="000F7DC5" w:rsidRDefault="001E708D" w:rsidP="00682EBB">
      <w:pPr>
        <w:pStyle w:val="Heading4"/>
        <w:spacing w:before="0" w:after="60"/>
      </w:pPr>
      <w:r w:rsidRPr="00BE09BB">
        <w:t xml:space="preserve">Continuous </w:t>
      </w:r>
      <w:r w:rsidR="00EA0779">
        <w:t>V</w:t>
      </w:r>
      <w:r w:rsidRPr="00BE09BB">
        <w:t>etting</w:t>
      </w:r>
    </w:p>
    <w:p w14:paraId="0A8888F2" w14:textId="1B7149EC" w:rsidR="000F7DC5" w:rsidRPr="00BE09BB" w:rsidRDefault="001E708D" w:rsidP="00FF2C8B">
      <w:pPr>
        <w:rPr>
          <w:rFonts w:eastAsia="Times New Roman" w:cs="Times New Roman"/>
          <w:spacing w:val="0"/>
        </w:rPr>
      </w:pPr>
      <w:r w:rsidRPr="00BE09BB">
        <w:rPr>
          <w:rFonts w:eastAsia="Times New Roman" w:cs="Times New Roman"/>
          <w:spacing w:val="0"/>
        </w:rPr>
        <w:t xml:space="preserve">Agencies must enroll each individual in the appropriate continuous vetting capability for the corresponding investigative tier based on the position designation. Section 106(d) of part 731 establishes the requirement for continuous vetting for individuals occupying non-sensitive low risk and public trust positions. Other vetting policies, including the Federal Personnel Investigative Standards and the Performance Management Standards, and implementing guidance, specify conditions and requirements for continuous vetting enrollment. Agencies will use the suitability and fitness criteria in </w:t>
      </w:r>
      <w:r w:rsidR="00B0416F">
        <w:rPr>
          <w:rFonts w:eastAsia="Times New Roman" w:cs="Times New Roman"/>
          <w:spacing w:val="0"/>
        </w:rPr>
        <w:t xml:space="preserve">5 C.F.R. </w:t>
      </w:r>
      <w:r w:rsidRPr="00BE09BB">
        <w:rPr>
          <w:rFonts w:eastAsia="Times New Roman" w:cs="Times New Roman"/>
          <w:spacing w:val="0"/>
        </w:rPr>
        <w:t xml:space="preserve">part 731 and the implementing guidance here within, to adjudicate continuous vetting alerts. </w:t>
      </w:r>
    </w:p>
    <w:p w14:paraId="699FBB1B" w14:textId="73043EA2" w:rsidR="000F7DC5" w:rsidRDefault="001E708D" w:rsidP="00682EBB">
      <w:pPr>
        <w:pStyle w:val="Heading4"/>
        <w:spacing w:before="0" w:after="60"/>
      </w:pPr>
      <w:r w:rsidRPr="00BE09BB">
        <w:t xml:space="preserve">Personnel </w:t>
      </w:r>
      <w:r w:rsidR="00EA0779">
        <w:t>V</w:t>
      </w:r>
      <w:r w:rsidRPr="00BE09BB">
        <w:t xml:space="preserve">etting </w:t>
      </w:r>
      <w:r w:rsidR="00EA0779">
        <w:t>E</w:t>
      </w:r>
      <w:r w:rsidRPr="00BE09BB">
        <w:t>ngagement</w:t>
      </w:r>
    </w:p>
    <w:p w14:paraId="317EBA48" w14:textId="22EE1604" w:rsidR="000F7DC5" w:rsidRPr="00BE09BB" w:rsidRDefault="001E708D" w:rsidP="00FF2C8B">
      <w:pPr>
        <w:rPr>
          <w:rFonts w:eastAsia="Times New Roman" w:cs="Times New Roman"/>
          <w:spacing w:val="0"/>
        </w:rPr>
      </w:pPr>
      <w:r w:rsidRPr="00BE09BB">
        <w:rPr>
          <w:rFonts w:eastAsia="Times New Roman" w:cs="Times New Roman"/>
          <w:spacing w:val="0"/>
        </w:rPr>
        <w:t xml:space="preserve">Effective personnel vetting engagement ensures two-way communication between the individual and the Government at all appropriate points in the process. This results in improved accuracy, validity, transparency, and efficiency at each step of the process. </w:t>
      </w:r>
    </w:p>
    <w:p w14:paraId="33258969" w14:textId="77777777" w:rsidR="000F7DC5" w:rsidRDefault="001E708D" w:rsidP="00682EBB">
      <w:pPr>
        <w:pStyle w:val="Heading4"/>
        <w:spacing w:before="0" w:after="60"/>
      </w:pPr>
      <w:r w:rsidRPr="00BE09BB">
        <w:t>Review Proceeding</w:t>
      </w:r>
    </w:p>
    <w:p w14:paraId="2CBEA30F" w14:textId="5FCACF6D" w:rsidR="000F7DC5" w:rsidRPr="00BE09BB" w:rsidRDefault="001E708D" w:rsidP="00FF2C8B">
      <w:pPr>
        <w:rPr>
          <w:rFonts w:eastAsia="Times New Roman" w:cs="Times New Roman"/>
          <w:spacing w:val="0"/>
        </w:rPr>
      </w:pPr>
      <w:r w:rsidRPr="00BE09BB">
        <w:rPr>
          <w:rFonts w:eastAsia="Times New Roman" w:cs="Times New Roman"/>
          <w:spacing w:val="0"/>
        </w:rPr>
        <w:t>The personnel vetting process reflects existing rights for applicants’ and employees’ review proceedings for the applicable adjudicative determination type.</w:t>
      </w:r>
    </w:p>
    <w:p w14:paraId="71E35085" w14:textId="77777777" w:rsidR="000F7DC5" w:rsidRDefault="001E708D" w:rsidP="00682EBB">
      <w:pPr>
        <w:pStyle w:val="Heading4"/>
        <w:spacing w:before="0" w:after="60"/>
      </w:pPr>
      <w:r w:rsidRPr="00BE09BB">
        <w:t>Information-sharing</w:t>
      </w:r>
    </w:p>
    <w:p w14:paraId="62B413C7" w14:textId="7D2B7F14" w:rsidR="001E708D" w:rsidRPr="009C50BB" w:rsidRDefault="001E708D" w:rsidP="00FF2C8B">
      <w:pPr>
        <w:rPr>
          <w:rFonts w:eastAsia="Times New Roman" w:cs="Times New Roman"/>
          <w:spacing w:val="0"/>
        </w:rPr>
      </w:pPr>
      <w:r w:rsidRPr="00BE09BB">
        <w:rPr>
          <w:rFonts w:eastAsia="Times New Roman" w:cs="Times New Roman"/>
          <w:spacing w:val="0"/>
        </w:rPr>
        <w:t xml:space="preserve">Information sharing, to the extent permitted by law, in Federal personnel vetting relies on sharing of validated relevant information across and within agencies to eliminate unnecessary duplication and reduce waste. Information sharing will improve transparency of the process, ensure quality, and maximize efficiency, while ensuring proper safeguarding and handling of sources and methods, protecting privacy rights, and ensuring fair and consistent treatment to all individuals. </w:t>
      </w:r>
    </w:p>
    <w:p w14:paraId="3167A737" w14:textId="24B391CD" w:rsidR="001E708D" w:rsidRPr="001E708D" w:rsidRDefault="00E4115A" w:rsidP="00FF2C8B">
      <w:pPr>
        <w:pStyle w:val="Heading2"/>
        <w:spacing w:before="0"/>
        <w:rPr>
          <w:rFonts w:eastAsia="Times New Roman" w:cs="Times New Roman"/>
          <w:spacing w:val="0"/>
        </w:rPr>
      </w:pPr>
      <w:bookmarkStart w:id="12" w:name="_Toc187052930"/>
      <w:bookmarkStart w:id="13" w:name="_Toc187924128"/>
      <w:r w:rsidRPr="548D0660">
        <w:rPr>
          <w:rStyle w:val="normaltextrun"/>
          <w:shd w:val="clear" w:color="auto" w:fill="FFFFFF"/>
        </w:rPr>
        <w:t>1.</w:t>
      </w:r>
      <w:r w:rsidR="007C087B" w:rsidRPr="548D0660">
        <w:rPr>
          <w:rStyle w:val="normaltextrun"/>
        </w:rPr>
        <w:t xml:space="preserve">2 </w:t>
      </w:r>
      <w:r w:rsidRPr="548D0660">
        <w:rPr>
          <w:rStyle w:val="normaltextrun"/>
          <w:shd w:val="clear" w:color="auto" w:fill="FFFFFF"/>
        </w:rPr>
        <w:t>- Position Designation</w:t>
      </w:r>
      <w:bookmarkEnd w:id="12"/>
      <w:bookmarkEnd w:id="13"/>
    </w:p>
    <w:p w14:paraId="209335C0" w14:textId="149B24E0" w:rsidR="00E4115A" w:rsidRPr="00E4115A" w:rsidRDefault="00E4115A" w:rsidP="00F84712">
      <w:pPr>
        <w:textAlignment w:val="baseline"/>
        <w:rPr>
          <w:rFonts w:eastAsia="Times New Roman" w:cs="Times New Roman"/>
          <w:spacing w:val="0"/>
        </w:rPr>
      </w:pPr>
      <w:r w:rsidRPr="00E4115A">
        <w:rPr>
          <w:rFonts w:eastAsia="Times New Roman" w:cs="Times New Roman"/>
          <w:spacing w:val="0"/>
        </w:rPr>
        <w:t xml:space="preserve">The first step in the personnel vetting process is to assess what investigation level is required for the position. To determine the investigation level required, the risk and sensitivity </w:t>
      </w:r>
      <w:r w:rsidR="004F06B1">
        <w:rPr>
          <w:rFonts w:eastAsia="Times New Roman" w:cs="Times New Roman"/>
          <w:spacing w:val="0"/>
        </w:rPr>
        <w:t xml:space="preserve">levels </w:t>
      </w:r>
      <w:r w:rsidRPr="00E4115A">
        <w:rPr>
          <w:rFonts w:eastAsia="Times New Roman" w:cs="Times New Roman"/>
          <w:spacing w:val="0"/>
        </w:rPr>
        <w:t xml:space="preserve">must be assessed for each position. Positions are to be designated using standard criteria and business rules to make uniform and consistent sensitivity and risk determinations to ensure </w:t>
      </w:r>
      <w:r w:rsidRPr="00E4115A">
        <w:rPr>
          <w:rFonts w:eastAsia="Times New Roman" w:cs="Times New Roman"/>
          <w:spacing w:val="0"/>
        </w:rPr>
        <w:lastRenderedPageBreak/>
        <w:t>the individual holding the position undergoes appropriate vetting. The specific set of duties of the position, as outlined in a position description, job description, or equivalent are used</w:t>
      </w:r>
      <w:r w:rsidRPr="00E4115A">
        <w:rPr>
          <w:rFonts w:eastAsia="Times New Roman" w:cs="Times New Roman"/>
          <w:color w:val="D13438"/>
          <w:spacing w:val="0"/>
          <w:u w:val="single"/>
        </w:rPr>
        <w:t xml:space="preserve"> </w:t>
      </w:r>
      <w:r w:rsidRPr="00E4115A">
        <w:rPr>
          <w:rFonts w:eastAsia="Times New Roman" w:cs="Times New Roman"/>
          <w:spacing w:val="0"/>
        </w:rPr>
        <w:t xml:space="preserve">in accordance with the Position Designation System (PDS). </w:t>
      </w:r>
      <w:r w:rsidR="004F06B1" w:rsidRPr="00E4115A">
        <w:rPr>
          <w:rFonts w:eastAsia="Times New Roman" w:cs="Times New Roman"/>
          <w:spacing w:val="0"/>
        </w:rPr>
        <w:t xml:space="preserve">The PDS is issued jointly by OPM as the Suitability and Credentialling Executive Agent and ODNI as the Security Executive Agent. OPM and ODNI coordinate with the Defense Counterintelligence and Security Agency (DCSA) to provide the PDS in the format of an automated tool for convenience and consistency. The Position Designation Tool (PDT) is available at: </w:t>
      </w:r>
      <w:hyperlink r:id="rId14" w:tgtFrame="_blank" w:history="1">
        <w:r w:rsidR="004F06B1" w:rsidRPr="00E4115A">
          <w:rPr>
            <w:rFonts w:eastAsia="Times New Roman" w:cs="Times New Roman"/>
            <w:color w:val="0057AD"/>
            <w:spacing w:val="0"/>
            <w:u w:val="single"/>
          </w:rPr>
          <w:t>https://pdt.nbis.mil/</w:t>
        </w:r>
      </w:hyperlink>
      <w:r w:rsidR="004F06B1">
        <w:rPr>
          <w:rFonts w:eastAsia="Times New Roman" w:cs="Times New Roman"/>
          <w:spacing w:val="0"/>
        </w:rPr>
        <w:t>.</w:t>
      </w:r>
      <w:r w:rsidR="004F06B1" w:rsidRPr="00E4115A">
        <w:rPr>
          <w:rFonts w:eastAsia="Times New Roman" w:cs="Times New Roman"/>
          <w:spacing w:val="0"/>
        </w:rPr>
        <w:t> </w:t>
      </w:r>
    </w:p>
    <w:p w14:paraId="62E1AA1D" w14:textId="1EE254F5" w:rsidR="00E4115A" w:rsidRPr="00E4115A" w:rsidRDefault="00E4115A" w:rsidP="00520D04">
      <w:pPr>
        <w:textAlignment w:val="baseline"/>
        <w:rPr>
          <w:rFonts w:eastAsia="Times New Roman" w:cs="Times New Roman"/>
          <w:spacing w:val="0"/>
        </w:rPr>
      </w:pPr>
      <w:r w:rsidRPr="00E4115A">
        <w:rPr>
          <w:rFonts w:eastAsia="Times New Roman" w:cs="Times New Roman"/>
          <w:spacing w:val="0"/>
        </w:rPr>
        <w:t xml:space="preserve">Over-designating a position and requesting a level of vetting that is higher than required wastes Federal tax dollars, while under-designating a position and requesting a level of vetting lower than required </w:t>
      </w:r>
      <w:r w:rsidR="004F06B1">
        <w:rPr>
          <w:rFonts w:eastAsia="Times New Roman" w:cs="Times New Roman"/>
          <w:spacing w:val="0"/>
        </w:rPr>
        <w:t>could put the</w:t>
      </w:r>
      <w:r w:rsidRPr="00E4115A">
        <w:rPr>
          <w:rFonts w:eastAsia="Times New Roman" w:cs="Times New Roman"/>
          <w:spacing w:val="0"/>
        </w:rPr>
        <w:t xml:space="preserve"> Federal Government’s people, </w:t>
      </w:r>
      <w:r>
        <w:rPr>
          <w:rFonts w:eastAsia="Times New Roman" w:cs="Times New Roman"/>
          <w:spacing w:val="0"/>
        </w:rPr>
        <w:t xml:space="preserve">property, </w:t>
      </w:r>
      <w:r w:rsidRPr="00E4115A">
        <w:rPr>
          <w:rFonts w:eastAsia="Times New Roman" w:cs="Times New Roman"/>
          <w:spacing w:val="0"/>
        </w:rPr>
        <w:t>information</w:t>
      </w:r>
      <w:r>
        <w:rPr>
          <w:rFonts w:eastAsia="Times New Roman" w:cs="Times New Roman"/>
          <w:spacing w:val="0"/>
        </w:rPr>
        <w:t>, and mission</w:t>
      </w:r>
      <w:r w:rsidRPr="00E4115A">
        <w:rPr>
          <w:rFonts w:eastAsia="Times New Roman" w:cs="Times New Roman"/>
          <w:spacing w:val="0"/>
        </w:rPr>
        <w:t xml:space="preserve"> </w:t>
      </w:r>
      <w:r w:rsidR="004F06B1">
        <w:rPr>
          <w:rFonts w:eastAsia="Times New Roman" w:cs="Times New Roman"/>
          <w:spacing w:val="0"/>
        </w:rPr>
        <w:t>at risk</w:t>
      </w:r>
      <w:r w:rsidRPr="00E4115A">
        <w:rPr>
          <w:rFonts w:eastAsia="Times New Roman" w:cs="Times New Roman"/>
          <w:spacing w:val="0"/>
        </w:rPr>
        <w:t xml:space="preserve">. </w:t>
      </w:r>
      <w:r w:rsidR="005F759D">
        <w:rPr>
          <w:rFonts w:eastAsia="Times New Roman" w:cs="Times New Roman"/>
          <w:spacing w:val="0"/>
        </w:rPr>
        <w:t xml:space="preserve">Therefore, ensuring that the documentation used to </w:t>
      </w:r>
      <w:r w:rsidR="00BD151F">
        <w:rPr>
          <w:rFonts w:eastAsia="Times New Roman" w:cs="Times New Roman"/>
          <w:spacing w:val="0"/>
        </w:rPr>
        <w:t xml:space="preserve">designate </w:t>
      </w:r>
      <w:r w:rsidR="005F759D">
        <w:rPr>
          <w:rFonts w:eastAsia="Times New Roman" w:cs="Times New Roman"/>
          <w:spacing w:val="0"/>
        </w:rPr>
        <w:t>the position</w:t>
      </w:r>
      <w:r w:rsidRPr="00E4115A">
        <w:rPr>
          <w:rFonts w:eastAsia="Times New Roman" w:cs="Times New Roman"/>
          <w:spacing w:val="0"/>
        </w:rPr>
        <w:t xml:space="preserve"> is accurate and up to date is imperative to the process. </w:t>
      </w:r>
    </w:p>
    <w:p w14:paraId="4EA4647F" w14:textId="5C215747" w:rsidR="006649B2" w:rsidRDefault="006649B2" w:rsidP="00E4115A">
      <w:pPr>
        <w:spacing w:after="0" w:line="240" w:lineRule="auto"/>
        <w:textAlignment w:val="baseline"/>
        <w:rPr>
          <w:rFonts w:eastAsia="Times New Roman" w:cs="Times New Roman"/>
          <w:b/>
          <w:bCs/>
          <w:spacing w:val="0"/>
        </w:rPr>
      </w:pPr>
      <w:r>
        <w:rPr>
          <w:rStyle w:val="normaltextrun"/>
          <w:b/>
          <w:bCs/>
          <w:color w:val="000000"/>
          <w:shd w:val="clear" w:color="auto" w:fill="FFFFFF"/>
        </w:rPr>
        <w:t>ELEMENTS OF POSITION DESIGNATION</w:t>
      </w:r>
      <w:r>
        <w:rPr>
          <w:rStyle w:val="eop"/>
          <w:color w:val="000000"/>
          <w:shd w:val="clear" w:color="auto" w:fill="FFFFFF"/>
        </w:rPr>
        <w:t> </w:t>
      </w:r>
    </w:p>
    <w:p w14:paraId="03607AC2" w14:textId="207EE95C" w:rsidR="00E4115A" w:rsidRPr="00E4115A" w:rsidRDefault="00E4115A" w:rsidP="00E92312">
      <w:pPr>
        <w:pStyle w:val="Heading5"/>
      </w:pPr>
      <w:r w:rsidRPr="00E4115A">
        <w:t>F</w:t>
      </w:r>
      <w:r w:rsidR="00E92312">
        <w:t>igure</w:t>
      </w:r>
      <w:r w:rsidRPr="00E4115A">
        <w:t xml:space="preserve"> 1 V1 </w:t>
      </w:r>
    </w:p>
    <w:p w14:paraId="275221EB" w14:textId="77777777" w:rsidR="00E4115A" w:rsidRPr="00E4115A" w:rsidRDefault="00E4115A" w:rsidP="003C7831">
      <w:pPr>
        <w:spacing w:after="120" w:line="240" w:lineRule="auto"/>
        <w:textAlignment w:val="baseline"/>
        <w:rPr>
          <w:rFonts w:eastAsia="Times New Roman" w:cs="Times New Roman"/>
          <w:spacing w:val="0"/>
        </w:rPr>
      </w:pPr>
      <w:r w:rsidRPr="00E4115A">
        <w:rPr>
          <w:rFonts w:eastAsia="Times New Roman" w:cs="Times New Roman"/>
          <w:noProof/>
          <w:spacing w:val="0"/>
        </w:rPr>
        <w:drawing>
          <wp:inline distT="0" distB="0" distL="0" distR="0" wp14:anchorId="467E0DF0" wp14:editId="595496FD">
            <wp:extent cx="4667250" cy="2279650"/>
            <wp:effectExtent l="0" t="0" r="0" b="6350"/>
            <wp:docPr id="1" name="Picture 2" descr="Table showing description of national security assessment, public trust risk assessment, and adjustments in designating position risk and sensi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Table showing description of national security assessment, public trust risk assessment, and adjustments in designating position risk and sensitivit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0" cy="2279650"/>
                    </a:xfrm>
                    <a:prstGeom prst="rect">
                      <a:avLst/>
                    </a:prstGeom>
                    <a:noFill/>
                    <a:ln>
                      <a:noFill/>
                    </a:ln>
                  </pic:spPr>
                </pic:pic>
              </a:graphicData>
            </a:graphic>
          </wp:inline>
        </w:drawing>
      </w:r>
      <w:r w:rsidRPr="00E4115A">
        <w:rPr>
          <w:rFonts w:eastAsia="Times New Roman" w:cs="Times New Roman"/>
          <w:noProof/>
          <w:spacing w:val="0"/>
        </w:rPr>
        <w:drawing>
          <wp:inline distT="0" distB="0" distL="0" distR="0" wp14:anchorId="586F088C" wp14:editId="5239B47B">
            <wp:extent cx="1047750" cy="2152650"/>
            <wp:effectExtent l="0" t="0" r="0" b="0"/>
            <wp:docPr id="2" name="Picture 1" descr="Chart showing how the position designation information the investigation type and form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hart showing how the position designation information the investigation type and form requirement.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0" cy="2152650"/>
                    </a:xfrm>
                    <a:prstGeom prst="rect">
                      <a:avLst/>
                    </a:prstGeom>
                    <a:noFill/>
                    <a:ln>
                      <a:noFill/>
                    </a:ln>
                  </pic:spPr>
                </pic:pic>
              </a:graphicData>
            </a:graphic>
          </wp:inline>
        </w:drawing>
      </w:r>
      <w:r w:rsidRPr="00E4115A">
        <w:rPr>
          <w:rFonts w:eastAsia="Times New Roman" w:cs="Times New Roman"/>
          <w:spacing w:val="0"/>
        </w:rPr>
        <w:t> </w:t>
      </w:r>
    </w:p>
    <w:p w14:paraId="6DD3ADA5" w14:textId="06C0995A" w:rsidR="005F759D" w:rsidRDefault="00E4115A" w:rsidP="00CD16D4">
      <w:pPr>
        <w:textAlignment w:val="baseline"/>
        <w:rPr>
          <w:rFonts w:eastAsia="Times New Roman" w:cs="Times New Roman"/>
          <w:spacing w:val="0"/>
        </w:rPr>
      </w:pPr>
      <w:r w:rsidRPr="00E4115A">
        <w:rPr>
          <w:rFonts w:eastAsia="Times New Roman" w:cs="Times New Roman"/>
          <w:spacing w:val="0"/>
        </w:rPr>
        <w:t>The public trust risk of a position is the assessment of the degree of potential damage to the efficiency or integrity of the service that could arise from misconduct by the incumbent in the position. The national security sensitivity of a position is determined by the potential material adverse effect on the national security the incumbent of the position can cause by virtue of the nature of the position.</w:t>
      </w:r>
      <w:r w:rsidR="005F759D">
        <w:rPr>
          <w:rFonts w:eastAsia="Times New Roman" w:cs="Times New Roman"/>
          <w:spacing w:val="0"/>
        </w:rPr>
        <w:t xml:space="preserve"> </w:t>
      </w:r>
      <w:r w:rsidRPr="00E4115A">
        <w:rPr>
          <w:rFonts w:eastAsia="Times New Roman" w:cs="Times New Roman"/>
          <w:spacing w:val="0"/>
        </w:rPr>
        <w:t xml:space="preserve">The PDS provides the designator the national security sensitivity, public trust risk and correlating minimum investigation level appropriate for the position. </w:t>
      </w:r>
    </w:p>
    <w:p w14:paraId="66EC1473" w14:textId="77777777" w:rsidR="00E4115A" w:rsidRDefault="00E4115A" w:rsidP="00CD16D4">
      <w:pPr>
        <w:textAlignment w:val="baseline"/>
        <w:rPr>
          <w:rFonts w:eastAsia="Times New Roman" w:cs="Times New Roman"/>
          <w:spacing w:val="0"/>
        </w:rPr>
      </w:pPr>
      <w:r w:rsidRPr="00E4115A">
        <w:rPr>
          <w:rFonts w:eastAsia="Times New Roman" w:cs="Times New Roman"/>
          <w:spacing w:val="0"/>
        </w:rPr>
        <w:t xml:space="preserve">A position designation may incorporate multiple position titles and position descriptions provided there are no differences in duties or required access to information and/or facilities. The Position Designation Record (PDR) should clearly list each position title and position description numbers to which the designation applies. Example: An agency has an administrative position’s duties designated as Non-Sensitive, Low Risk, Tier 1, however multiple offices have created distinct position titles and position description numbers for positions performing those same duties. Position Titles (i.e., Secretary; Office Assistant; Program Support Assistant) may be listed with their respective position description numbers to generate a single position designation record. This method of recording position designations </w:t>
      </w:r>
      <w:r w:rsidRPr="00E4115A">
        <w:rPr>
          <w:rFonts w:eastAsia="Times New Roman" w:cs="Times New Roman"/>
          <w:spacing w:val="0"/>
        </w:rPr>
        <w:lastRenderedPageBreak/>
        <w:t>requires that the position descriptions all be accurate and up to date to ensure that that duties for those positions are actually the same. </w:t>
      </w:r>
    </w:p>
    <w:p w14:paraId="3D49C893" w14:textId="6BE1FB97" w:rsidR="005F759D" w:rsidRPr="00E4115A" w:rsidRDefault="005F759D" w:rsidP="00CD16D4">
      <w:pPr>
        <w:textAlignment w:val="baseline"/>
        <w:rPr>
          <w:rFonts w:eastAsia="Times New Roman" w:cs="Times New Roman"/>
          <w:spacing w:val="0"/>
        </w:rPr>
      </w:pPr>
      <w:r w:rsidRPr="00E4115A">
        <w:rPr>
          <w:rFonts w:eastAsia="Times New Roman" w:cs="Times New Roman"/>
          <w:spacing w:val="0"/>
        </w:rPr>
        <w:t>To understand the process</w:t>
      </w:r>
      <w:r>
        <w:rPr>
          <w:rFonts w:eastAsia="Times New Roman" w:cs="Times New Roman"/>
          <w:spacing w:val="0"/>
        </w:rPr>
        <w:t xml:space="preserve">, </w:t>
      </w:r>
      <w:r w:rsidRPr="00E4115A">
        <w:rPr>
          <w:rFonts w:eastAsia="Times New Roman" w:cs="Times New Roman"/>
          <w:spacing w:val="0"/>
        </w:rPr>
        <w:t xml:space="preserve">it is recommended to read through the PDF version of the PDS before attempting to use the tool. </w:t>
      </w:r>
      <w:r w:rsidR="000A6F9B">
        <w:rPr>
          <w:rFonts w:eastAsia="Times New Roman" w:cs="Times New Roman"/>
          <w:spacing w:val="0"/>
        </w:rPr>
        <w:t xml:space="preserve">Attending </w:t>
      </w:r>
      <w:r w:rsidR="005A3F89">
        <w:rPr>
          <w:rFonts w:eastAsia="Times New Roman" w:cs="Times New Roman"/>
          <w:spacing w:val="0"/>
        </w:rPr>
        <w:t xml:space="preserve">training is also </w:t>
      </w:r>
      <w:r w:rsidR="00B65074">
        <w:rPr>
          <w:rFonts w:eastAsia="Times New Roman" w:cs="Times New Roman"/>
          <w:spacing w:val="0"/>
        </w:rPr>
        <w:t>recommended.</w:t>
      </w:r>
    </w:p>
    <w:p w14:paraId="76354731" w14:textId="577DBFB9" w:rsidR="00E4115A" w:rsidRPr="00E4115A" w:rsidRDefault="00E4115A" w:rsidP="00CD16D4">
      <w:pPr>
        <w:textAlignment w:val="baseline"/>
        <w:rPr>
          <w:rFonts w:eastAsia="Times New Roman" w:cs="Times New Roman"/>
          <w:spacing w:val="0"/>
        </w:rPr>
      </w:pPr>
      <w:r w:rsidRPr="00E4115A">
        <w:rPr>
          <w:rFonts w:eastAsia="Times New Roman" w:cs="Times New Roman"/>
          <w:spacing w:val="0"/>
        </w:rPr>
        <w:t xml:space="preserve">Table </w:t>
      </w:r>
      <w:r w:rsidR="409A0107" w:rsidRPr="64DB3116">
        <w:rPr>
          <w:rFonts w:eastAsia="Times New Roman" w:cs="Times New Roman"/>
        </w:rPr>
        <w:t>1</w:t>
      </w:r>
      <w:r w:rsidR="0011553B">
        <w:rPr>
          <w:rFonts w:eastAsia="Times New Roman" w:cs="Times New Roman"/>
          <w:spacing w:val="0"/>
        </w:rPr>
        <w:t xml:space="preserve"> </w:t>
      </w:r>
      <w:r w:rsidRPr="00E4115A">
        <w:rPr>
          <w:rFonts w:eastAsia="Times New Roman" w:cs="Times New Roman"/>
          <w:spacing w:val="0"/>
        </w:rPr>
        <w:t xml:space="preserve">V1 below </w:t>
      </w:r>
      <w:r w:rsidR="005F759D">
        <w:rPr>
          <w:rFonts w:eastAsia="Times New Roman" w:cs="Times New Roman"/>
          <w:spacing w:val="0"/>
        </w:rPr>
        <w:t>shows the minimum required investigation by risk/sensitivity designation and the associated investigative form as:</w:t>
      </w:r>
      <w:r w:rsidRPr="00E4115A">
        <w:rPr>
          <w:rFonts w:eastAsia="Times New Roman" w:cs="Times New Roman"/>
          <w:spacing w:val="0"/>
        </w:rPr>
        <w:t xml:space="preserve"> 85, 85P and 86 Standard Form (SF) </w:t>
      </w:r>
      <w:r w:rsidR="005F759D">
        <w:rPr>
          <w:rFonts w:eastAsia="Times New Roman" w:cs="Times New Roman"/>
          <w:spacing w:val="0"/>
        </w:rPr>
        <w:t>or the</w:t>
      </w:r>
      <w:r w:rsidRPr="00E4115A">
        <w:rPr>
          <w:rFonts w:eastAsia="Times New Roman" w:cs="Times New Roman"/>
          <w:spacing w:val="0"/>
        </w:rPr>
        <w:t xml:space="preserve"> Personnel Vetting Questionnaire (PVQ). </w:t>
      </w:r>
    </w:p>
    <w:p w14:paraId="1EB838DF" w14:textId="73B1B6FF" w:rsidR="00686DEC" w:rsidRPr="00E4115A" w:rsidRDefault="00E4115A" w:rsidP="00CD16D4">
      <w:pPr>
        <w:spacing w:after="60"/>
        <w:textAlignment w:val="baseline"/>
        <w:rPr>
          <w:rFonts w:eastAsia="Times New Roman" w:cs="Times New Roman"/>
          <w:spacing w:val="0"/>
        </w:rPr>
      </w:pPr>
      <w:r w:rsidRPr="00E4115A">
        <w:rPr>
          <w:rFonts w:eastAsia="Times New Roman" w:cs="Times New Roman"/>
          <w:spacing w:val="0"/>
        </w:rPr>
        <w:t>The PVQ aligns the information collected with the SF 85, 85P</w:t>
      </w:r>
      <w:r w:rsidR="005F759D">
        <w:rPr>
          <w:rFonts w:eastAsia="Times New Roman" w:cs="Times New Roman"/>
          <w:spacing w:val="0"/>
        </w:rPr>
        <w:t>, 85P-S,</w:t>
      </w:r>
      <w:r w:rsidRPr="00E4115A">
        <w:rPr>
          <w:rFonts w:eastAsia="Times New Roman" w:cs="Times New Roman"/>
          <w:spacing w:val="0"/>
        </w:rPr>
        <w:t xml:space="preserve"> and 86. The form is divided into 4 Parts: </w:t>
      </w:r>
    </w:p>
    <w:p w14:paraId="131A220D" w14:textId="77777777" w:rsidR="00E4115A" w:rsidRPr="00E4115A" w:rsidRDefault="00E4115A" w:rsidP="00CD16D4">
      <w:pPr>
        <w:spacing w:after="0"/>
        <w:ind w:left="720"/>
        <w:textAlignment w:val="baseline"/>
        <w:rPr>
          <w:rFonts w:eastAsia="Times New Roman" w:cs="Times New Roman"/>
          <w:spacing w:val="0"/>
        </w:rPr>
      </w:pPr>
      <w:r w:rsidRPr="00E4115A">
        <w:rPr>
          <w:rFonts w:eastAsia="Times New Roman" w:cs="Times New Roman"/>
          <w:spacing w:val="0"/>
        </w:rPr>
        <w:t>A – Mandatory for all Positions </w:t>
      </w:r>
    </w:p>
    <w:p w14:paraId="6C98F7CE" w14:textId="77777777" w:rsidR="00E4115A" w:rsidRPr="00E4115A" w:rsidRDefault="00E4115A" w:rsidP="00CD16D4">
      <w:pPr>
        <w:spacing w:after="0"/>
        <w:ind w:left="720"/>
        <w:textAlignment w:val="baseline"/>
        <w:rPr>
          <w:rFonts w:eastAsia="Times New Roman" w:cs="Times New Roman"/>
          <w:spacing w:val="0"/>
        </w:rPr>
      </w:pPr>
      <w:r w:rsidRPr="00E4115A">
        <w:rPr>
          <w:rFonts w:eastAsia="Times New Roman" w:cs="Times New Roman"/>
          <w:spacing w:val="0"/>
        </w:rPr>
        <w:t>B – Mandatory for all Positions except Low Risk </w:t>
      </w:r>
    </w:p>
    <w:p w14:paraId="436784AF" w14:textId="77777777" w:rsidR="00E4115A" w:rsidRPr="00E4115A" w:rsidRDefault="00E4115A" w:rsidP="00CD16D4">
      <w:pPr>
        <w:spacing w:after="0"/>
        <w:ind w:left="720"/>
        <w:textAlignment w:val="baseline"/>
        <w:rPr>
          <w:rFonts w:eastAsia="Times New Roman" w:cs="Times New Roman"/>
          <w:spacing w:val="0"/>
        </w:rPr>
      </w:pPr>
      <w:r w:rsidRPr="00E4115A">
        <w:rPr>
          <w:rFonts w:eastAsia="Times New Roman" w:cs="Times New Roman"/>
          <w:spacing w:val="0"/>
        </w:rPr>
        <w:t>C – Mandatory for all National Security Positions </w:t>
      </w:r>
    </w:p>
    <w:p w14:paraId="366097F0" w14:textId="0FF1B01A" w:rsidR="00E4115A" w:rsidRPr="00E4115A" w:rsidRDefault="00E4115A" w:rsidP="00CD16D4">
      <w:pPr>
        <w:ind w:left="1080" w:hanging="360"/>
        <w:textAlignment w:val="baseline"/>
        <w:rPr>
          <w:rFonts w:eastAsia="Times New Roman" w:cs="Times New Roman"/>
          <w:spacing w:val="0"/>
        </w:rPr>
      </w:pPr>
      <w:r w:rsidRPr="00E4115A">
        <w:rPr>
          <w:rFonts w:eastAsia="Times New Roman" w:cs="Times New Roman"/>
          <w:spacing w:val="0"/>
        </w:rPr>
        <w:t xml:space="preserve">D – Mandatory for certain law enforcement positions at the discretion of the hiring agency. Part D equates to the Supplemental form to the Standard Form (SF) 85P (SF 85P-S) which </w:t>
      </w:r>
      <w:r w:rsidR="34604D09" w:rsidRPr="00E4115A">
        <w:rPr>
          <w:rFonts w:eastAsia="Times New Roman" w:cs="Times New Roman"/>
          <w:spacing w:val="0"/>
        </w:rPr>
        <w:t>may be used for certain positions as authorized by OPM</w:t>
      </w:r>
      <w:r w:rsidRPr="00E4115A">
        <w:rPr>
          <w:rFonts w:eastAsia="Times New Roman" w:cs="Times New Roman"/>
          <w:spacing w:val="0"/>
        </w:rPr>
        <w:t>. </w:t>
      </w:r>
    </w:p>
    <w:p w14:paraId="32B1B2D9" w14:textId="6427F51E" w:rsidR="00E4115A" w:rsidRPr="00E4115A" w:rsidRDefault="00E4115A" w:rsidP="00D44F70">
      <w:pPr>
        <w:spacing w:after="0" w:line="240" w:lineRule="auto"/>
        <w:textAlignment w:val="baseline"/>
        <w:rPr>
          <w:rFonts w:eastAsia="Times New Roman" w:cs="Times New Roman"/>
          <w:spacing w:val="0"/>
        </w:rPr>
      </w:pPr>
      <w:r w:rsidRPr="00E4115A">
        <w:rPr>
          <w:rFonts w:eastAsia="Times New Roman" w:cs="Times New Roman"/>
          <w:b/>
          <w:bCs/>
          <w:spacing w:val="0"/>
        </w:rPr>
        <w:t>MINIMUM REQUIRED INVESTIGATION LEVELS AND INFORMATION COLLECTION FOR POSITIONS</w:t>
      </w:r>
      <w:r w:rsidRPr="00E4115A">
        <w:rPr>
          <w:rFonts w:eastAsia="Times New Roman" w:cs="Times New Roman"/>
          <w:spacing w:val="0"/>
        </w:rPr>
        <w:t> </w:t>
      </w:r>
    </w:p>
    <w:p w14:paraId="6626EE72" w14:textId="52167417" w:rsidR="00E4115A" w:rsidRPr="00E4115A" w:rsidRDefault="00E4115A" w:rsidP="001E20A1">
      <w:pPr>
        <w:pStyle w:val="Heading5"/>
      </w:pPr>
      <w:r w:rsidRPr="00E4115A">
        <w:t>T</w:t>
      </w:r>
      <w:r w:rsidR="006816B7">
        <w:t>able</w:t>
      </w:r>
      <w:r w:rsidRPr="00E4115A">
        <w:t xml:space="preserve"> </w:t>
      </w:r>
      <w:r w:rsidR="006649B2">
        <w:t>1</w:t>
      </w:r>
      <w:r w:rsidR="0011553B">
        <w:t xml:space="preserve"> </w:t>
      </w:r>
      <w:r w:rsidRPr="00E4115A">
        <w:t>V1 </w:t>
      </w:r>
    </w:p>
    <w:tbl>
      <w:tblPr>
        <w:tblW w:w="94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15"/>
        <w:gridCol w:w="1710"/>
        <w:gridCol w:w="1350"/>
        <w:gridCol w:w="990"/>
        <w:gridCol w:w="2077"/>
      </w:tblGrid>
      <w:tr w:rsidR="00E4115A" w:rsidRPr="00E4115A" w14:paraId="193EA514" w14:textId="77777777" w:rsidTr="00515099">
        <w:trPr>
          <w:trHeight w:val="300"/>
        </w:trPr>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7E966D6B"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Position Designation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6BF09230"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2022 FPVIS Required Inv. Level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7252012"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2012 FIS Required Inv. Level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64C03EB"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SF </w:t>
            </w:r>
          </w:p>
        </w:tc>
        <w:tc>
          <w:tcPr>
            <w:tcW w:w="2077" w:type="dxa"/>
            <w:tcBorders>
              <w:top w:val="single" w:sz="6" w:space="0" w:color="auto"/>
              <w:left w:val="single" w:sz="6" w:space="0" w:color="auto"/>
              <w:bottom w:val="single" w:sz="6" w:space="0" w:color="auto"/>
              <w:right w:val="single" w:sz="6" w:space="0" w:color="auto"/>
            </w:tcBorders>
            <w:shd w:val="clear" w:color="auto" w:fill="auto"/>
            <w:hideMark/>
          </w:tcPr>
          <w:p w14:paraId="1D3F1CC0"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PVQ </w:t>
            </w:r>
          </w:p>
        </w:tc>
      </w:tr>
      <w:tr w:rsidR="00E4115A" w:rsidRPr="00E4115A" w14:paraId="7EB59E61" w14:textId="77777777" w:rsidTr="00515099">
        <w:trPr>
          <w:trHeight w:val="300"/>
        </w:trPr>
        <w:tc>
          <w:tcPr>
            <w:tcW w:w="3315" w:type="dxa"/>
            <w:tcBorders>
              <w:top w:val="single" w:sz="6" w:space="0" w:color="auto"/>
              <w:left w:val="single" w:sz="6" w:space="0" w:color="auto"/>
              <w:bottom w:val="single" w:sz="6" w:space="0" w:color="auto"/>
              <w:right w:val="single" w:sz="6" w:space="0" w:color="auto"/>
            </w:tcBorders>
            <w:shd w:val="clear" w:color="auto" w:fill="D9E2F3"/>
            <w:hideMark/>
          </w:tcPr>
          <w:p w14:paraId="134FB401"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Non-Sensitive / Low Risk </w:t>
            </w:r>
          </w:p>
        </w:tc>
        <w:tc>
          <w:tcPr>
            <w:tcW w:w="1710" w:type="dxa"/>
            <w:tcBorders>
              <w:top w:val="single" w:sz="6" w:space="0" w:color="auto"/>
              <w:left w:val="single" w:sz="6" w:space="0" w:color="auto"/>
              <w:bottom w:val="single" w:sz="6" w:space="0" w:color="auto"/>
              <w:right w:val="single" w:sz="6" w:space="0" w:color="auto"/>
            </w:tcBorders>
            <w:shd w:val="clear" w:color="auto" w:fill="D9E2F3"/>
            <w:hideMark/>
          </w:tcPr>
          <w:p w14:paraId="73B945A1"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Low Tier </w:t>
            </w:r>
          </w:p>
        </w:tc>
        <w:tc>
          <w:tcPr>
            <w:tcW w:w="1350" w:type="dxa"/>
            <w:tcBorders>
              <w:top w:val="single" w:sz="6" w:space="0" w:color="auto"/>
              <w:left w:val="single" w:sz="6" w:space="0" w:color="auto"/>
              <w:bottom w:val="single" w:sz="6" w:space="0" w:color="auto"/>
              <w:right w:val="single" w:sz="6" w:space="0" w:color="auto"/>
            </w:tcBorders>
            <w:shd w:val="clear" w:color="auto" w:fill="D9E2F3"/>
            <w:hideMark/>
          </w:tcPr>
          <w:p w14:paraId="25B12554"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Tier 1 </w:t>
            </w:r>
          </w:p>
        </w:tc>
        <w:tc>
          <w:tcPr>
            <w:tcW w:w="990" w:type="dxa"/>
            <w:tcBorders>
              <w:top w:val="single" w:sz="6" w:space="0" w:color="auto"/>
              <w:left w:val="single" w:sz="6" w:space="0" w:color="auto"/>
              <w:bottom w:val="single" w:sz="6" w:space="0" w:color="auto"/>
              <w:right w:val="single" w:sz="6" w:space="0" w:color="auto"/>
            </w:tcBorders>
            <w:shd w:val="clear" w:color="auto" w:fill="D9E2F3"/>
            <w:hideMark/>
          </w:tcPr>
          <w:p w14:paraId="17F1DA77"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SF 85 </w:t>
            </w:r>
          </w:p>
        </w:tc>
        <w:tc>
          <w:tcPr>
            <w:tcW w:w="2077" w:type="dxa"/>
            <w:tcBorders>
              <w:top w:val="single" w:sz="6" w:space="0" w:color="auto"/>
              <w:left w:val="single" w:sz="6" w:space="0" w:color="auto"/>
              <w:bottom w:val="single" w:sz="6" w:space="0" w:color="auto"/>
              <w:right w:val="single" w:sz="6" w:space="0" w:color="auto"/>
            </w:tcBorders>
            <w:shd w:val="clear" w:color="auto" w:fill="D9E2F3"/>
            <w:hideMark/>
          </w:tcPr>
          <w:p w14:paraId="3456BDA1"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Part A </w:t>
            </w:r>
          </w:p>
        </w:tc>
      </w:tr>
      <w:tr w:rsidR="00E4115A" w:rsidRPr="00E4115A" w14:paraId="0C1E64E9" w14:textId="77777777" w:rsidTr="00515099">
        <w:trPr>
          <w:trHeight w:val="300"/>
        </w:trPr>
        <w:tc>
          <w:tcPr>
            <w:tcW w:w="3315" w:type="dxa"/>
            <w:tcBorders>
              <w:top w:val="single" w:sz="6" w:space="0" w:color="auto"/>
              <w:left w:val="single" w:sz="6" w:space="0" w:color="auto"/>
              <w:bottom w:val="single" w:sz="6" w:space="0" w:color="auto"/>
              <w:right w:val="single" w:sz="6" w:space="0" w:color="auto"/>
            </w:tcBorders>
            <w:shd w:val="clear" w:color="auto" w:fill="B4C6E7"/>
            <w:hideMark/>
          </w:tcPr>
          <w:p w14:paraId="1889E7BA"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Non-Sensitive / Moderate Risk </w:t>
            </w:r>
          </w:p>
        </w:tc>
        <w:tc>
          <w:tcPr>
            <w:tcW w:w="1710" w:type="dxa"/>
            <w:tcBorders>
              <w:top w:val="single" w:sz="6" w:space="0" w:color="auto"/>
              <w:left w:val="single" w:sz="6" w:space="0" w:color="auto"/>
              <w:bottom w:val="single" w:sz="6" w:space="0" w:color="auto"/>
              <w:right w:val="single" w:sz="6" w:space="0" w:color="auto"/>
            </w:tcBorders>
            <w:shd w:val="clear" w:color="auto" w:fill="B4C6E7"/>
            <w:hideMark/>
          </w:tcPr>
          <w:p w14:paraId="7D8B810A"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Moderate Tier </w:t>
            </w:r>
          </w:p>
        </w:tc>
        <w:tc>
          <w:tcPr>
            <w:tcW w:w="1350" w:type="dxa"/>
            <w:tcBorders>
              <w:top w:val="single" w:sz="6" w:space="0" w:color="auto"/>
              <w:left w:val="single" w:sz="6" w:space="0" w:color="auto"/>
              <w:bottom w:val="single" w:sz="6" w:space="0" w:color="auto"/>
              <w:right w:val="single" w:sz="6" w:space="0" w:color="auto"/>
            </w:tcBorders>
            <w:shd w:val="clear" w:color="auto" w:fill="B4C6E7"/>
            <w:hideMark/>
          </w:tcPr>
          <w:p w14:paraId="6BE25EDB"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Tier 2 </w:t>
            </w:r>
          </w:p>
        </w:tc>
        <w:tc>
          <w:tcPr>
            <w:tcW w:w="990" w:type="dxa"/>
            <w:tcBorders>
              <w:top w:val="single" w:sz="6" w:space="0" w:color="auto"/>
              <w:left w:val="single" w:sz="6" w:space="0" w:color="auto"/>
              <w:bottom w:val="single" w:sz="6" w:space="0" w:color="auto"/>
              <w:right w:val="single" w:sz="6" w:space="0" w:color="auto"/>
            </w:tcBorders>
            <w:shd w:val="clear" w:color="auto" w:fill="B4C6E7"/>
            <w:hideMark/>
          </w:tcPr>
          <w:p w14:paraId="665DEC12"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SF 85P </w:t>
            </w:r>
          </w:p>
        </w:tc>
        <w:tc>
          <w:tcPr>
            <w:tcW w:w="2077" w:type="dxa"/>
            <w:tcBorders>
              <w:top w:val="single" w:sz="6" w:space="0" w:color="auto"/>
              <w:left w:val="single" w:sz="6" w:space="0" w:color="auto"/>
              <w:bottom w:val="single" w:sz="6" w:space="0" w:color="auto"/>
              <w:right w:val="single" w:sz="6" w:space="0" w:color="auto"/>
            </w:tcBorders>
            <w:shd w:val="clear" w:color="auto" w:fill="B4C6E7"/>
            <w:hideMark/>
          </w:tcPr>
          <w:p w14:paraId="3C3659C3"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Part A and B </w:t>
            </w:r>
          </w:p>
        </w:tc>
      </w:tr>
      <w:tr w:rsidR="00E4115A" w:rsidRPr="00E4115A" w14:paraId="4A748244" w14:textId="77777777" w:rsidTr="00515099">
        <w:trPr>
          <w:trHeight w:val="300"/>
        </w:trPr>
        <w:tc>
          <w:tcPr>
            <w:tcW w:w="3315" w:type="dxa"/>
            <w:tcBorders>
              <w:top w:val="single" w:sz="6" w:space="0" w:color="auto"/>
              <w:left w:val="single" w:sz="6" w:space="0" w:color="auto"/>
              <w:bottom w:val="single" w:sz="6" w:space="0" w:color="auto"/>
              <w:right w:val="single" w:sz="6" w:space="0" w:color="auto"/>
            </w:tcBorders>
            <w:shd w:val="clear" w:color="auto" w:fill="B4C6E7"/>
            <w:hideMark/>
          </w:tcPr>
          <w:p w14:paraId="0511F4AC"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Non-Critical Sensitive / Moderate Risk </w:t>
            </w:r>
          </w:p>
        </w:tc>
        <w:tc>
          <w:tcPr>
            <w:tcW w:w="1710" w:type="dxa"/>
            <w:tcBorders>
              <w:top w:val="single" w:sz="6" w:space="0" w:color="auto"/>
              <w:left w:val="single" w:sz="6" w:space="0" w:color="auto"/>
              <w:bottom w:val="single" w:sz="6" w:space="0" w:color="auto"/>
              <w:right w:val="single" w:sz="6" w:space="0" w:color="auto"/>
            </w:tcBorders>
            <w:shd w:val="clear" w:color="auto" w:fill="B4C6E7"/>
            <w:hideMark/>
          </w:tcPr>
          <w:p w14:paraId="1CE41C8A"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Moderate Tier </w:t>
            </w:r>
          </w:p>
        </w:tc>
        <w:tc>
          <w:tcPr>
            <w:tcW w:w="1350" w:type="dxa"/>
            <w:tcBorders>
              <w:top w:val="single" w:sz="6" w:space="0" w:color="auto"/>
              <w:left w:val="single" w:sz="6" w:space="0" w:color="auto"/>
              <w:bottom w:val="single" w:sz="6" w:space="0" w:color="auto"/>
              <w:right w:val="single" w:sz="6" w:space="0" w:color="auto"/>
            </w:tcBorders>
            <w:shd w:val="clear" w:color="auto" w:fill="B4C6E7"/>
            <w:hideMark/>
          </w:tcPr>
          <w:p w14:paraId="76279A7E"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Tier 3 </w:t>
            </w:r>
          </w:p>
        </w:tc>
        <w:tc>
          <w:tcPr>
            <w:tcW w:w="990" w:type="dxa"/>
            <w:tcBorders>
              <w:top w:val="single" w:sz="6" w:space="0" w:color="auto"/>
              <w:left w:val="single" w:sz="6" w:space="0" w:color="auto"/>
              <w:bottom w:val="single" w:sz="6" w:space="0" w:color="auto"/>
              <w:right w:val="single" w:sz="6" w:space="0" w:color="auto"/>
            </w:tcBorders>
            <w:shd w:val="clear" w:color="auto" w:fill="B4C6E7"/>
            <w:hideMark/>
          </w:tcPr>
          <w:p w14:paraId="685ED519"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SF 86 </w:t>
            </w:r>
          </w:p>
        </w:tc>
        <w:tc>
          <w:tcPr>
            <w:tcW w:w="2077" w:type="dxa"/>
            <w:tcBorders>
              <w:top w:val="single" w:sz="6" w:space="0" w:color="auto"/>
              <w:left w:val="single" w:sz="6" w:space="0" w:color="auto"/>
              <w:bottom w:val="single" w:sz="6" w:space="0" w:color="auto"/>
              <w:right w:val="single" w:sz="6" w:space="0" w:color="auto"/>
            </w:tcBorders>
            <w:shd w:val="clear" w:color="auto" w:fill="B4C6E7"/>
            <w:hideMark/>
          </w:tcPr>
          <w:p w14:paraId="19220DB4"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Part A, B and C </w:t>
            </w:r>
          </w:p>
        </w:tc>
      </w:tr>
      <w:tr w:rsidR="00E4115A" w:rsidRPr="00E4115A" w14:paraId="10099536" w14:textId="77777777" w:rsidTr="00515099">
        <w:trPr>
          <w:trHeight w:val="300"/>
        </w:trPr>
        <w:tc>
          <w:tcPr>
            <w:tcW w:w="3315" w:type="dxa"/>
            <w:tcBorders>
              <w:top w:val="single" w:sz="6" w:space="0" w:color="auto"/>
              <w:left w:val="single" w:sz="6" w:space="0" w:color="auto"/>
              <w:bottom w:val="single" w:sz="6" w:space="0" w:color="auto"/>
              <w:right w:val="single" w:sz="6" w:space="0" w:color="auto"/>
            </w:tcBorders>
            <w:shd w:val="clear" w:color="auto" w:fill="8EAADB"/>
            <w:hideMark/>
          </w:tcPr>
          <w:p w14:paraId="72B6364E"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Non-Sensitive / High Risk </w:t>
            </w:r>
          </w:p>
        </w:tc>
        <w:tc>
          <w:tcPr>
            <w:tcW w:w="1710" w:type="dxa"/>
            <w:tcBorders>
              <w:top w:val="single" w:sz="6" w:space="0" w:color="auto"/>
              <w:left w:val="single" w:sz="6" w:space="0" w:color="auto"/>
              <w:bottom w:val="single" w:sz="6" w:space="0" w:color="auto"/>
              <w:right w:val="single" w:sz="6" w:space="0" w:color="auto"/>
            </w:tcBorders>
            <w:shd w:val="clear" w:color="auto" w:fill="8EAADB"/>
            <w:hideMark/>
          </w:tcPr>
          <w:p w14:paraId="534E32BD"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High Tier </w:t>
            </w:r>
          </w:p>
        </w:tc>
        <w:tc>
          <w:tcPr>
            <w:tcW w:w="1350" w:type="dxa"/>
            <w:tcBorders>
              <w:top w:val="single" w:sz="6" w:space="0" w:color="auto"/>
              <w:left w:val="single" w:sz="6" w:space="0" w:color="auto"/>
              <w:bottom w:val="single" w:sz="6" w:space="0" w:color="auto"/>
              <w:right w:val="single" w:sz="6" w:space="0" w:color="auto"/>
            </w:tcBorders>
            <w:shd w:val="clear" w:color="auto" w:fill="8EAADB"/>
            <w:hideMark/>
          </w:tcPr>
          <w:p w14:paraId="79FD65C8"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Tier 4 </w:t>
            </w:r>
          </w:p>
        </w:tc>
        <w:tc>
          <w:tcPr>
            <w:tcW w:w="990" w:type="dxa"/>
            <w:tcBorders>
              <w:top w:val="single" w:sz="6" w:space="0" w:color="auto"/>
              <w:left w:val="single" w:sz="6" w:space="0" w:color="auto"/>
              <w:bottom w:val="single" w:sz="6" w:space="0" w:color="auto"/>
              <w:right w:val="single" w:sz="6" w:space="0" w:color="auto"/>
            </w:tcBorders>
            <w:shd w:val="clear" w:color="auto" w:fill="8EAADB"/>
            <w:hideMark/>
          </w:tcPr>
          <w:p w14:paraId="0936A3CB"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SF 85P </w:t>
            </w:r>
          </w:p>
        </w:tc>
        <w:tc>
          <w:tcPr>
            <w:tcW w:w="2077" w:type="dxa"/>
            <w:tcBorders>
              <w:top w:val="single" w:sz="6" w:space="0" w:color="auto"/>
              <w:left w:val="single" w:sz="6" w:space="0" w:color="auto"/>
              <w:bottom w:val="single" w:sz="6" w:space="0" w:color="auto"/>
              <w:right w:val="single" w:sz="6" w:space="0" w:color="auto"/>
            </w:tcBorders>
            <w:shd w:val="clear" w:color="auto" w:fill="8EAADB"/>
            <w:hideMark/>
          </w:tcPr>
          <w:p w14:paraId="10365939"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Part A and B </w:t>
            </w:r>
          </w:p>
        </w:tc>
      </w:tr>
      <w:tr w:rsidR="00E4115A" w:rsidRPr="00E4115A" w14:paraId="6AF99BBF" w14:textId="77777777" w:rsidTr="00515099">
        <w:trPr>
          <w:trHeight w:val="300"/>
        </w:trPr>
        <w:tc>
          <w:tcPr>
            <w:tcW w:w="3315" w:type="dxa"/>
            <w:tcBorders>
              <w:top w:val="single" w:sz="6" w:space="0" w:color="auto"/>
              <w:left w:val="single" w:sz="6" w:space="0" w:color="auto"/>
              <w:bottom w:val="single" w:sz="6" w:space="0" w:color="auto"/>
              <w:right w:val="single" w:sz="6" w:space="0" w:color="auto"/>
            </w:tcBorders>
            <w:shd w:val="clear" w:color="auto" w:fill="8EAADB"/>
            <w:hideMark/>
          </w:tcPr>
          <w:p w14:paraId="5AADE041"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Non-Critical Sensitive / High Risk </w:t>
            </w:r>
          </w:p>
        </w:tc>
        <w:tc>
          <w:tcPr>
            <w:tcW w:w="1710" w:type="dxa"/>
            <w:tcBorders>
              <w:top w:val="single" w:sz="6" w:space="0" w:color="auto"/>
              <w:left w:val="single" w:sz="6" w:space="0" w:color="auto"/>
              <w:bottom w:val="single" w:sz="6" w:space="0" w:color="auto"/>
              <w:right w:val="single" w:sz="6" w:space="0" w:color="auto"/>
            </w:tcBorders>
            <w:shd w:val="clear" w:color="auto" w:fill="8EAADB"/>
            <w:hideMark/>
          </w:tcPr>
          <w:p w14:paraId="5B80FAD3"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High Tier </w:t>
            </w:r>
          </w:p>
        </w:tc>
        <w:tc>
          <w:tcPr>
            <w:tcW w:w="1350" w:type="dxa"/>
            <w:tcBorders>
              <w:top w:val="single" w:sz="6" w:space="0" w:color="auto"/>
              <w:left w:val="single" w:sz="6" w:space="0" w:color="auto"/>
              <w:bottom w:val="single" w:sz="6" w:space="0" w:color="auto"/>
              <w:right w:val="single" w:sz="6" w:space="0" w:color="auto"/>
            </w:tcBorders>
            <w:shd w:val="clear" w:color="auto" w:fill="8EAADB"/>
            <w:hideMark/>
          </w:tcPr>
          <w:p w14:paraId="7E2348FD"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Tier 5 </w:t>
            </w:r>
          </w:p>
        </w:tc>
        <w:tc>
          <w:tcPr>
            <w:tcW w:w="990" w:type="dxa"/>
            <w:tcBorders>
              <w:top w:val="single" w:sz="6" w:space="0" w:color="auto"/>
              <w:left w:val="single" w:sz="6" w:space="0" w:color="auto"/>
              <w:bottom w:val="single" w:sz="6" w:space="0" w:color="auto"/>
              <w:right w:val="single" w:sz="6" w:space="0" w:color="auto"/>
            </w:tcBorders>
            <w:shd w:val="clear" w:color="auto" w:fill="8EAADB"/>
            <w:hideMark/>
          </w:tcPr>
          <w:p w14:paraId="2AB41809"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SF 86 </w:t>
            </w:r>
          </w:p>
        </w:tc>
        <w:tc>
          <w:tcPr>
            <w:tcW w:w="2077" w:type="dxa"/>
            <w:tcBorders>
              <w:top w:val="single" w:sz="6" w:space="0" w:color="auto"/>
              <w:left w:val="single" w:sz="6" w:space="0" w:color="auto"/>
              <w:bottom w:val="single" w:sz="6" w:space="0" w:color="auto"/>
              <w:right w:val="single" w:sz="6" w:space="0" w:color="auto"/>
            </w:tcBorders>
            <w:shd w:val="clear" w:color="auto" w:fill="8EAADB"/>
            <w:hideMark/>
          </w:tcPr>
          <w:p w14:paraId="5A0ACA24"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Part A, B and C </w:t>
            </w:r>
          </w:p>
        </w:tc>
      </w:tr>
      <w:tr w:rsidR="00E4115A" w:rsidRPr="00E4115A" w14:paraId="2912BBE8" w14:textId="77777777" w:rsidTr="00515099">
        <w:trPr>
          <w:trHeight w:val="300"/>
        </w:trPr>
        <w:tc>
          <w:tcPr>
            <w:tcW w:w="3315" w:type="dxa"/>
            <w:tcBorders>
              <w:top w:val="single" w:sz="6" w:space="0" w:color="auto"/>
              <w:left w:val="single" w:sz="6" w:space="0" w:color="auto"/>
              <w:bottom w:val="single" w:sz="6" w:space="0" w:color="auto"/>
              <w:right w:val="single" w:sz="6" w:space="0" w:color="auto"/>
            </w:tcBorders>
            <w:shd w:val="clear" w:color="auto" w:fill="8EAADB"/>
            <w:hideMark/>
          </w:tcPr>
          <w:p w14:paraId="04D8D1F8"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Critical Sensitive / High Risk </w:t>
            </w:r>
          </w:p>
        </w:tc>
        <w:tc>
          <w:tcPr>
            <w:tcW w:w="1710" w:type="dxa"/>
            <w:tcBorders>
              <w:top w:val="single" w:sz="6" w:space="0" w:color="auto"/>
              <w:left w:val="single" w:sz="6" w:space="0" w:color="auto"/>
              <w:bottom w:val="single" w:sz="6" w:space="0" w:color="auto"/>
              <w:right w:val="single" w:sz="6" w:space="0" w:color="auto"/>
            </w:tcBorders>
            <w:shd w:val="clear" w:color="auto" w:fill="8EAADB"/>
            <w:hideMark/>
          </w:tcPr>
          <w:p w14:paraId="0CFBDA02"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High Tier </w:t>
            </w:r>
          </w:p>
        </w:tc>
        <w:tc>
          <w:tcPr>
            <w:tcW w:w="1350" w:type="dxa"/>
            <w:tcBorders>
              <w:top w:val="single" w:sz="6" w:space="0" w:color="auto"/>
              <w:left w:val="single" w:sz="6" w:space="0" w:color="auto"/>
              <w:bottom w:val="single" w:sz="6" w:space="0" w:color="auto"/>
              <w:right w:val="single" w:sz="6" w:space="0" w:color="auto"/>
            </w:tcBorders>
            <w:shd w:val="clear" w:color="auto" w:fill="8EAADB"/>
            <w:hideMark/>
          </w:tcPr>
          <w:p w14:paraId="34E73A12"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Tier 5 </w:t>
            </w:r>
          </w:p>
        </w:tc>
        <w:tc>
          <w:tcPr>
            <w:tcW w:w="990" w:type="dxa"/>
            <w:tcBorders>
              <w:top w:val="single" w:sz="6" w:space="0" w:color="auto"/>
              <w:left w:val="single" w:sz="6" w:space="0" w:color="auto"/>
              <w:bottom w:val="single" w:sz="6" w:space="0" w:color="auto"/>
              <w:right w:val="single" w:sz="6" w:space="0" w:color="auto"/>
            </w:tcBorders>
            <w:shd w:val="clear" w:color="auto" w:fill="8EAADB"/>
            <w:hideMark/>
          </w:tcPr>
          <w:p w14:paraId="25AB98FC"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SF 86 </w:t>
            </w:r>
          </w:p>
        </w:tc>
        <w:tc>
          <w:tcPr>
            <w:tcW w:w="2077" w:type="dxa"/>
            <w:tcBorders>
              <w:top w:val="single" w:sz="6" w:space="0" w:color="auto"/>
              <w:left w:val="single" w:sz="6" w:space="0" w:color="auto"/>
              <w:bottom w:val="single" w:sz="6" w:space="0" w:color="auto"/>
              <w:right w:val="single" w:sz="6" w:space="0" w:color="auto"/>
            </w:tcBorders>
            <w:shd w:val="clear" w:color="auto" w:fill="8EAADB"/>
            <w:hideMark/>
          </w:tcPr>
          <w:p w14:paraId="4318CA39"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Part A, B and C </w:t>
            </w:r>
          </w:p>
        </w:tc>
      </w:tr>
      <w:tr w:rsidR="00E4115A" w:rsidRPr="00E4115A" w14:paraId="613395FC" w14:textId="77777777" w:rsidTr="00515099">
        <w:trPr>
          <w:trHeight w:val="300"/>
        </w:trPr>
        <w:tc>
          <w:tcPr>
            <w:tcW w:w="3315" w:type="dxa"/>
            <w:tcBorders>
              <w:top w:val="single" w:sz="6" w:space="0" w:color="auto"/>
              <w:left w:val="single" w:sz="6" w:space="0" w:color="auto"/>
              <w:bottom w:val="single" w:sz="6" w:space="0" w:color="auto"/>
              <w:right w:val="single" w:sz="6" w:space="0" w:color="auto"/>
            </w:tcBorders>
            <w:shd w:val="clear" w:color="auto" w:fill="8EAADB"/>
            <w:hideMark/>
          </w:tcPr>
          <w:p w14:paraId="4EBF8CE5"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Special Sensitive / High Risk </w:t>
            </w:r>
          </w:p>
        </w:tc>
        <w:tc>
          <w:tcPr>
            <w:tcW w:w="1710" w:type="dxa"/>
            <w:tcBorders>
              <w:top w:val="single" w:sz="6" w:space="0" w:color="auto"/>
              <w:left w:val="single" w:sz="6" w:space="0" w:color="auto"/>
              <w:bottom w:val="single" w:sz="6" w:space="0" w:color="auto"/>
              <w:right w:val="single" w:sz="6" w:space="0" w:color="auto"/>
            </w:tcBorders>
            <w:shd w:val="clear" w:color="auto" w:fill="8EAADB"/>
            <w:hideMark/>
          </w:tcPr>
          <w:p w14:paraId="258D1053" w14:textId="326150A5"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High Tier </w:t>
            </w:r>
          </w:p>
        </w:tc>
        <w:tc>
          <w:tcPr>
            <w:tcW w:w="1350" w:type="dxa"/>
            <w:tcBorders>
              <w:top w:val="single" w:sz="6" w:space="0" w:color="auto"/>
              <w:left w:val="single" w:sz="6" w:space="0" w:color="auto"/>
              <w:bottom w:val="single" w:sz="6" w:space="0" w:color="auto"/>
              <w:right w:val="single" w:sz="6" w:space="0" w:color="auto"/>
            </w:tcBorders>
            <w:shd w:val="clear" w:color="auto" w:fill="8EAADB"/>
            <w:hideMark/>
          </w:tcPr>
          <w:p w14:paraId="2FB7FF8B"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Tier 5 </w:t>
            </w:r>
          </w:p>
        </w:tc>
        <w:tc>
          <w:tcPr>
            <w:tcW w:w="990" w:type="dxa"/>
            <w:tcBorders>
              <w:top w:val="single" w:sz="6" w:space="0" w:color="auto"/>
              <w:left w:val="single" w:sz="6" w:space="0" w:color="auto"/>
              <w:bottom w:val="single" w:sz="6" w:space="0" w:color="auto"/>
              <w:right w:val="single" w:sz="6" w:space="0" w:color="auto"/>
            </w:tcBorders>
            <w:shd w:val="clear" w:color="auto" w:fill="8EAADB"/>
            <w:hideMark/>
          </w:tcPr>
          <w:p w14:paraId="40D34499"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SF 86 </w:t>
            </w:r>
          </w:p>
        </w:tc>
        <w:tc>
          <w:tcPr>
            <w:tcW w:w="2077" w:type="dxa"/>
            <w:tcBorders>
              <w:top w:val="single" w:sz="6" w:space="0" w:color="auto"/>
              <w:left w:val="single" w:sz="6" w:space="0" w:color="auto"/>
              <w:bottom w:val="single" w:sz="6" w:space="0" w:color="auto"/>
              <w:right w:val="single" w:sz="6" w:space="0" w:color="auto"/>
            </w:tcBorders>
            <w:shd w:val="clear" w:color="auto" w:fill="8EAADB"/>
            <w:hideMark/>
          </w:tcPr>
          <w:p w14:paraId="03FB77E7"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Part A, B and C </w:t>
            </w:r>
          </w:p>
        </w:tc>
      </w:tr>
    </w:tbl>
    <w:p w14:paraId="130DBFD0" w14:textId="5B1AED7D" w:rsidR="00E4115A" w:rsidRDefault="00E4115A" w:rsidP="00F84805">
      <w:pPr>
        <w:spacing w:before="120" w:line="240" w:lineRule="auto"/>
        <w:textAlignment w:val="baseline"/>
        <w:rPr>
          <w:rFonts w:eastAsia="Times New Roman" w:cs="Times New Roman"/>
          <w:spacing w:val="0"/>
        </w:rPr>
      </w:pPr>
      <w:r w:rsidRPr="00E4115A">
        <w:rPr>
          <w:rFonts w:eastAsia="Times New Roman" w:cs="Times New Roman"/>
          <w:spacing w:val="0"/>
        </w:rPr>
        <w:t>Before initiating individuals to fill out a</w:t>
      </w:r>
      <w:r w:rsidR="00123B4D">
        <w:rPr>
          <w:rFonts w:eastAsia="Times New Roman" w:cs="Times New Roman"/>
          <w:spacing w:val="0"/>
        </w:rPr>
        <w:t>n</w:t>
      </w:r>
      <w:r w:rsidRPr="00E4115A">
        <w:rPr>
          <w:rFonts w:eastAsia="Times New Roman" w:cs="Times New Roman"/>
          <w:spacing w:val="0"/>
        </w:rPr>
        <w:t xml:space="preserve"> investigative form and initiating a new background investigation on an individual, it is required to validate the need</w:t>
      </w:r>
      <w:r w:rsidR="00123B4D">
        <w:rPr>
          <w:rFonts w:eastAsia="Times New Roman" w:cs="Times New Roman"/>
          <w:spacing w:val="0"/>
        </w:rPr>
        <w:t xml:space="preserve"> by determining previous vetting.</w:t>
      </w:r>
      <w:r w:rsidRPr="00E4115A">
        <w:rPr>
          <w:rFonts w:eastAsia="Times New Roman" w:cs="Times New Roman"/>
          <w:spacing w:val="0"/>
        </w:rPr>
        <w:t xml:space="preserve"> It may be possible to reciprocally accept </w:t>
      </w:r>
      <w:r w:rsidR="00123B4D">
        <w:rPr>
          <w:rFonts w:eastAsia="Times New Roman" w:cs="Times New Roman"/>
          <w:spacing w:val="0"/>
        </w:rPr>
        <w:t xml:space="preserve">a prior investigation and/or adjudication. See </w:t>
      </w:r>
      <w:hyperlink w:anchor="_1.2_3_–" w:history="1">
        <w:r w:rsidR="00123B4D" w:rsidRPr="00364E2B">
          <w:rPr>
            <w:rStyle w:val="Hyperlink"/>
            <w:rFonts w:eastAsia="Times New Roman" w:cs="Times New Roman"/>
            <w:spacing w:val="0"/>
          </w:rPr>
          <w:t xml:space="preserve">section </w:t>
        </w:r>
        <w:r w:rsidR="004D4C57" w:rsidRPr="00364E2B">
          <w:rPr>
            <w:rStyle w:val="Hyperlink"/>
            <w:rFonts w:eastAsia="Times New Roman" w:cs="Times New Roman"/>
            <w:spacing w:val="0"/>
          </w:rPr>
          <w:t>1.3</w:t>
        </w:r>
      </w:hyperlink>
      <w:r w:rsidR="00DF5942">
        <w:rPr>
          <w:rFonts w:eastAsia="Times New Roman" w:cs="Times New Roman"/>
          <w:spacing w:val="0"/>
        </w:rPr>
        <w:t xml:space="preserve"> </w:t>
      </w:r>
      <w:r w:rsidR="00176C06">
        <w:rPr>
          <w:rFonts w:eastAsia="Times New Roman" w:cs="Times New Roman"/>
          <w:spacing w:val="0"/>
        </w:rPr>
        <w:t>–</w:t>
      </w:r>
      <w:r w:rsidR="00DF5942">
        <w:rPr>
          <w:rFonts w:eastAsia="Times New Roman" w:cs="Times New Roman"/>
          <w:spacing w:val="0"/>
        </w:rPr>
        <w:t xml:space="preserve"> </w:t>
      </w:r>
      <w:r w:rsidR="004D4C57">
        <w:rPr>
          <w:rFonts w:eastAsia="Times New Roman" w:cs="Times New Roman"/>
          <w:spacing w:val="0"/>
        </w:rPr>
        <w:t>Reciprocity</w:t>
      </w:r>
      <w:r w:rsidR="00123B4D">
        <w:rPr>
          <w:rFonts w:eastAsia="Times New Roman" w:cs="Times New Roman"/>
          <w:spacing w:val="0"/>
        </w:rPr>
        <w:t xml:space="preserve"> below for additional information on determining need and reciprocity. </w:t>
      </w:r>
    </w:p>
    <w:p w14:paraId="11844B2F" w14:textId="77777777" w:rsidR="00E4115A" w:rsidRDefault="00E4115A" w:rsidP="00F84805">
      <w:pPr>
        <w:spacing w:line="240" w:lineRule="auto"/>
        <w:textAlignment w:val="baseline"/>
        <w:rPr>
          <w:rFonts w:eastAsia="Times New Roman" w:cs="Times New Roman"/>
          <w:spacing w:val="0"/>
        </w:rPr>
      </w:pPr>
      <w:r w:rsidRPr="00E4115A">
        <w:rPr>
          <w:rFonts w:eastAsia="Times New Roman" w:cs="Times New Roman"/>
          <w:b/>
          <w:bCs/>
          <w:spacing w:val="0"/>
        </w:rPr>
        <w:t>Credentialing Note:</w:t>
      </w:r>
      <w:r w:rsidRPr="00E4115A">
        <w:rPr>
          <w:rFonts w:eastAsia="Times New Roman" w:cs="Times New Roman"/>
          <w:spacing w:val="0"/>
        </w:rPr>
        <w:t xml:space="preserve"> Although the minimum requirement for a credential is a Tier 1/Low Tier investigation, agencies must submit an individual for the appropriate personnel vetting investigation based on the PDS. </w:t>
      </w:r>
    </w:p>
    <w:p w14:paraId="062F7A36" w14:textId="5E24A4B7" w:rsidR="004D4C57" w:rsidRPr="004D4C57" w:rsidRDefault="004D4C57" w:rsidP="00F84805">
      <w:pPr>
        <w:pStyle w:val="Heading2"/>
        <w:spacing w:before="0" w:after="240" w:line="240" w:lineRule="auto"/>
      </w:pPr>
      <w:bookmarkStart w:id="14" w:name="_Toc187052931"/>
      <w:bookmarkStart w:id="15" w:name="_1.3_–_Reciprocity"/>
      <w:bookmarkStart w:id="16" w:name="_Toc187924129"/>
      <w:r>
        <w:lastRenderedPageBreak/>
        <w:t>1.</w:t>
      </w:r>
      <w:r w:rsidR="007C087B">
        <w:t xml:space="preserve">3 </w:t>
      </w:r>
      <w:r>
        <w:t>– Reciprocity</w:t>
      </w:r>
      <w:bookmarkEnd w:id="14"/>
      <w:bookmarkEnd w:id="15"/>
      <w:bookmarkEnd w:id="16"/>
    </w:p>
    <w:p w14:paraId="525C2CC2" w14:textId="642DA8A4" w:rsidR="00CB1AAC" w:rsidRPr="00002101" w:rsidRDefault="004D4C57" w:rsidP="00F84805">
      <w:pPr>
        <w:spacing w:line="240" w:lineRule="auto"/>
        <w:rPr>
          <w:rFonts w:eastAsia="Times New Roman" w:cs="Times New Roman"/>
          <w:spacing w:val="0"/>
        </w:rPr>
      </w:pPr>
      <w:r w:rsidRPr="00002101">
        <w:rPr>
          <w:rFonts w:eastAsia="Times New Roman" w:cs="Times New Roman"/>
          <w:spacing w:val="0"/>
        </w:rPr>
        <w:t>To determine if an individual entering a position is subject to investigation, an agency must determine any previous vetting.</w:t>
      </w:r>
      <w:r w:rsidR="006D6FD7" w:rsidRPr="00002101">
        <w:rPr>
          <w:rFonts w:eastAsia="Times New Roman" w:cs="Times New Roman"/>
          <w:spacing w:val="0"/>
        </w:rPr>
        <w:t xml:space="preserve"> Upon the acceptance of a conditional job offer, </w:t>
      </w:r>
      <w:r w:rsidRPr="00002101">
        <w:rPr>
          <w:rFonts w:eastAsia="Times New Roman" w:cs="Times New Roman"/>
          <w:spacing w:val="0"/>
        </w:rPr>
        <w:t xml:space="preserve">including in the case of promotion, demotion, reassignment, or transfer, </w:t>
      </w:r>
      <w:r w:rsidR="006D6FD7" w:rsidRPr="00002101">
        <w:rPr>
          <w:rFonts w:eastAsia="Times New Roman" w:cs="Times New Roman"/>
          <w:spacing w:val="0"/>
        </w:rPr>
        <w:t>the agency will query the government-wide repository to determine if the individual’s investigation meets or exceeds the investigative tier required for the new position</w:t>
      </w:r>
      <w:r w:rsidR="00CB1AAC" w:rsidRPr="00002101">
        <w:rPr>
          <w:rFonts w:eastAsia="Times New Roman" w:cs="Times New Roman"/>
          <w:spacing w:val="0"/>
        </w:rPr>
        <w:t xml:space="preserve"> and if a suitability or fitness determination is available for reciprocity</w:t>
      </w:r>
      <w:r w:rsidR="006D6FD7" w:rsidRPr="00002101">
        <w:rPr>
          <w:rFonts w:eastAsia="Times New Roman" w:cs="Times New Roman"/>
          <w:spacing w:val="0"/>
        </w:rPr>
        <w:t xml:space="preserve">. </w:t>
      </w:r>
    </w:p>
    <w:p w14:paraId="48E38DF2" w14:textId="3D9E746F" w:rsidR="00CB1AAC" w:rsidRDefault="00CB1AAC" w:rsidP="005A2850">
      <w:pPr>
        <w:pStyle w:val="Heading3"/>
        <w:rPr>
          <w:rFonts w:eastAsia="Times New Roman" w:cs="Times New Roman"/>
          <w:spacing w:val="0"/>
        </w:rPr>
      </w:pPr>
      <w:bookmarkStart w:id="17" w:name="_Toc187052932"/>
      <w:bookmarkStart w:id="18" w:name="_Toc187924130"/>
      <w:r w:rsidRPr="548D0660">
        <w:rPr>
          <w:rStyle w:val="normaltextrun"/>
          <w:shd w:val="clear" w:color="auto" w:fill="FFFFFF"/>
        </w:rPr>
        <w:t>1.</w:t>
      </w:r>
      <w:r w:rsidR="00124FE9" w:rsidRPr="005A2850">
        <w:rPr>
          <w:rStyle w:val="normaltextrun"/>
        </w:rPr>
        <w:t>3.</w:t>
      </w:r>
      <w:r w:rsidR="005A2850" w:rsidRPr="005A2850">
        <w:rPr>
          <w:rStyle w:val="normaltextrun"/>
        </w:rPr>
        <w:t>1</w:t>
      </w:r>
      <w:r w:rsidRPr="548D0660">
        <w:rPr>
          <w:rStyle w:val="normaltextrun"/>
          <w:shd w:val="clear" w:color="auto" w:fill="FFFFFF"/>
        </w:rPr>
        <w:t xml:space="preserve"> – Reciprocity of </w:t>
      </w:r>
      <w:r w:rsidR="00946EF5" w:rsidRPr="548D0660">
        <w:rPr>
          <w:rStyle w:val="normaltextrun"/>
          <w:shd w:val="clear" w:color="auto" w:fill="FFFFFF"/>
        </w:rPr>
        <w:t>I</w:t>
      </w:r>
      <w:r w:rsidRPr="548D0660">
        <w:rPr>
          <w:rStyle w:val="normaltextrun"/>
          <w:shd w:val="clear" w:color="auto" w:fill="FFFFFF"/>
        </w:rPr>
        <w:t>nvestigations</w:t>
      </w:r>
      <w:bookmarkEnd w:id="17"/>
      <w:bookmarkEnd w:id="18"/>
    </w:p>
    <w:p w14:paraId="3576EBAB" w14:textId="20593F6D" w:rsidR="006D6FD7" w:rsidRPr="0014776B" w:rsidRDefault="006D6FD7" w:rsidP="00F84805">
      <w:pPr>
        <w:spacing w:line="240" w:lineRule="auto"/>
        <w:rPr>
          <w:rFonts w:eastAsia="Times New Roman" w:cs="Times New Roman"/>
          <w:spacing w:val="0"/>
        </w:rPr>
      </w:pPr>
      <w:r w:rsidRPr="0014776B">
        <w:rPr>
          <w:rFonts w:eastAsia="Times New Roman" w:cs="Times New Roman"/>
          <w:spacing w:val="0"/>
        </w:rPr>
        <w:t xml:space="preserve">The following matrix, from the </w:t>
      </w:r>
      <w:r w:rsidRPr="0014776B">
        <w:rPr>
          <w:rFonts w:eastAsia="Times New Roman" w:cs="Times New Roman"/>
          <w:b/>
          <w:bCs/>
          <w:spacing w:val="0"/>
        </w:rPr>
        <w:t>Trusted Workforce 2.0 Implementation and Operational-Level Guidance for Departments and Agencies and Authorized Investigative Service Providers</w:t>
      </w:r>
      <w:r w:rsidR="0088514C" w:rsidRPr="0014776B">
        <w:rPr>
          <w:rFonts w:eastAsia="Times New Roman" w:cs="Times New Roman"/>
          <w:b/>
          <w:bCs/>
          <w:spacing w:val="0"/>
        </w:rPr>
        <w:t>-Upgrades, Transfer of Trust, and Re-establishment of Trust Vetting Scenarios</w:t>
      </w:r>
      <w:r w:rsidR="00A93ED0">
        <w:rPr>
          <w:rFonts w:eastAsia="Times New Roman" w:cs="Times New Roman"/>
          <w:b/>
          <w:bCs/>
          <w:spacing w:val="0"/>
        </w:rPr>
        <w:t>,</w:t>
      </w:r>
      <w:r w:rsidRPr="36A80A07">
        <w:rPr>
          <w:rFonts w:eastAsia="Times New Roman" w:cs="Times New Roman"/>
          <w:i/>
          <w:iCs/>
          <w:spacing w:val="0"/>
        </w:rPr>
        <w:t xml:space="preserve"> </w:t>
      </w:r>
      <w:r w:rsidRPr="0014776B">
        <w:rPr>
          <w:rFonts w:eastAsia="Times New Roman" w:cs="Times New Roman"/>
          <w:spacing w:val="0"/>
        </w:rPr>
        <w:t xml:space="preserve">issued in </w:t>
      </w:r>
      <w:r w:rsidR="0088514C" w:rsidRPr="0014776B">
        <w:rPr>
          <w:rFonts w:eastAsia="Times New Roman" w:cs="Times New Roman"/>
          <w:spacing w:val="0"/>
        </w:rPr>
        <w:t>December</w:t>
      </w:r>
      <w:r w:rsidRPr="0014776B">
        <w:rPr>
          <w:rFonts w:eastAsia="Times New Roman" w:cs="Times New Roman"/>
          <w:spacing w:val="0"/>
        </w:rPr>
        <w:t xml:space="preserve"> 2023</w:t>
      </w:r>
      <w:r w:rsidR="00A93ED0">
        <w:rPr>
          <w:rFonts w:eastAsia="Times New Roman" w:cs="Times New Roman"/>
          <w:spacing w:val="0"/>
        </w:rPr>
        <w:t>,</w:t>
      </w:r>
      <w:r w:rsidRPr="0014776B">
        <w:rPr>
          <w:rFonts w:eastAsia="Times New Roman" w:cs="Times New Roman"/>
          <w:spacing w:val="0"/>
        </w:rPr>
        <w:t xml:space="preserve"> is used to identify whether a new investigation is required. By identifying the designation of the current position and designation of the new position, using the matrix, the agency will know the required </w:t>
      </w:r>
      <w:r w:rsidR="00CB1AAC" w:rsidRPr="0014776B">
        <w:rPr>
          <w:rFonts w:eastAsia="Times New Roman" w:cs="Times New Roman"/>
          <w:spacing w:val="0"/>
        </w:rPr>
        <w:t xml:space="preserve">investigative </w:t>
      </w:r>
      <w:r w:rsidRPr="0014776B">
        <w:rPr>
          <w:rFonts w:eastAsia="Times New Roman" w:cs="Times New Roman"/>
          <w:spacing w:val="0"/>
        </w:rPr>
        <w:t>level. Within the matrix, risk designations are labeled a</w:t>
      </w:r>
      <w:r w:rsidR="002D6534" w:rsidRPr="0014776B">
        <w:rPr>
          <w:rFonts w:eastAsia="Times New Roman" w:cs="Times New Roman"/>
          <w:spacing w:val="0"/>
        </w:rPr>
        <w:t>s</w:t>
      </w:r>
      <w:r w:rsidRPr="0014776B">
        <w:rPr>
          <w:rFonts w:eastAsia="Times New Roman" w:cs="Times New Roman"/>
          <w:spacing w:val="0"/>
        </w:rPr>
        <w:t xml:space="preserve"> low, moderate, or high and sensitivity designation are marked as “NSS.” The matrix includes investigative tiers from </w:t>
      </w:r>
      <w:r w:rsidR="00CB1AAC" w:rsidRPr="0014776B">
        <w:rPr>
          <w:rFonts w:eastAsia="Times New Roman" w:cs="Times New Roman"/>
          <w:spacing w:val="0"/>
        </w:rPr>
        <w:t>the 2012 and 2022</w:t>
      </w:r>
      <w:r w:rsidRPr="0014776B">
        <w:rPr>
          <w:rFonts w:eastAsia="Times New Roman" w:cs="Times New Roman"/>
          <w:spacing w:val="0"/>
        </w:rPr>
        <w:t xml:space="preserve"> </w:t>
      </w:r>
      <w:r w:rsidR="00CB1AAC" w:rsidRPr="0014776B">
        <w:rPr>
          <w:rFonts w:eastAsia="Times New Roman" w:cs="Times New Roman"/>
          <w:spacing w:val="0"/>
        </w:rPr>
        <w:t>I</w:t>
      </w:r>
      <w:r w:rsidRPr="0014776B">
        <w:rPr>
          <w:rFonts w:eastAsia="Times New Roman" w:cs="Times New Roman"/>
          <w:spacing w:val="0"/>
        </w:rPr>
        <w:t xml:space="preserve">nvestigative </w:t>
      </w:r>
      <w:r w:rsidR="00CB1AAC" w:rsidRPr="0014776B">
        <w:rPr>
          <w:rFonts w:eastAsia="Times New Roman" w:cs="Times New Roman"/>
          <w:spacing w:val="0"/>
        </w:rPr>
        <w:t>S</w:t>
      </w:r>
      <w:r w:rsidRPr="0014776B">
        <w:rPr>
          <w:rFonts w:eastAsia="Times New Roman" w:cs="Times New Roman"/>
          <w:spacing w:val="0"/>
        </w:rPr>
        <w:t xml:space="preserve">tandards. </w:t>
      </w:r>
    </w:p>
    <w:p w14:paraId="6A0E8355" w14:textId="448C3525" w:rsidR="006649B2" w:rsidRPr="00E4115A" w:rsidRDefault="006649B2" w:rsidP="006649B2">
      <w:pPr>
        <w:spacing w:after="0" w:line="240" w:lineRule="auto"/>
        <w:textAlignment w:val="baseline"/>
        <w:rPr>
          <w:rFonts w:eastAsia="Times New Roman" w:cs="Times New Roman"/>
          <w:spacing w:val="0"/>
        </w:rPr>
      </w:pPr>
      <w:r>
        <w:rPr>
          <w:rFonts w:eastAsia="Times New Roman" w:cs="Times New Roman"/>
          <w:b/>
          <w:bCs/>
          <w:spacing w:val="0"/>
        </w:rPr>
        <w:t>DETERMINING WHEN A NEW INVESTIGATION IS REQUIRED</w:t>
      </w:r>
      <w:r w:rsidRPr="00E4115A">
        <w:rPr>
          <w:rFonts w:eastAsia="Times New Roman" w:cs="Times New Roman"/>
          <w:spacing w:val="0"/>
        </w:rPr>
        <w:t> </w:t>
      </w:r>
    </w:p>
    <w:p w14:paraId="6CCB847F" w14:textId="6B65A97B" w:rsidR="006649B2" w:rsidRPr="00CA4714" w:rsidRDefault="006649B2" w:rsidP="00042609">
      <w:pPr>
        <w:pStyle w:val="Heading5"/>
      </w:pPr>
      <w:r w:rsidRPr="00E4115A">
        <w:t>T</w:t>
      </w:r>
      <w:r w:rsidR="006816B7">
        <w:t>able</w:t>
      </w:r>
      <w:r w:rsidRPr="00E4115A">
        <w:t xml:space="preserve"> </w:t>
      </w:r>
      <w:r>
        <w:t>2</w:t>
      </w:r>
      <w:r w:rsidRPr="00E4115A">
        <w:t xml:space="preserve"> V1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3"/>
        <w:gridCol w:w="1326"/>
        <w:gridCol w:w="1325"/>
        <w:gridCol w:w="1359"/>
        <w:gridCol w:w="1323"/>
        <w:gridCol w:w="1359"/>
        <w:gridCol w:w="1269"/>
      </w:tblGrid>
      <w:tr w:rsidR="0088514C" w:rsidRPr="0088514C" w14:paraId="67F16369" w14:textId="77777777" w:rsidTr="0088514C">
        <w:trPr>
          <w:trHeight w:val="1080"/>
        </w:trPr>
        <w:tc>
          <w:tcPr>
            <w:tcW w:w="1410" w:type="dxa"/>
            <w:tcBorders>
              <w:top w:val="single" w:sz="6" w:space="0" w:color="auto"/>
              <w:left w:val="single" w:sz="6" w:space="0" w:color="auto"/>
              <w:bottom w:val="single" w:sz="6" w:space="0" w:color="auto"/>
              <w:right w:val="single" w:sz="6" w:space="0" w:color="auto"/>
            </w:tcBorders>
            <w:shd w:val="clear" w:color="auto" w:fill="000000"/>
            <w:hideMark/>
          </w:tcPr>
          <w:p w14:paraId="2AC6F1BC" w14:textId="77777777" w:rsidR="0088514C" w:rsidRPr="0088514C" w:rsidRDefault="0088514C" w:rsidP="0088514C">
            <w:pPr>
              <w:spacing w:after="0" w:line="240" w:lineRule="auto"/>
              <w:textAlignment w:val="baseline"/>
              <w:rPr>
                <w:rFonts w:ascii="Segoe UI" w:eastAsia="Times New Roman" w:hAnsi="Segoe UI" w:cs="Segoe UI"/>
                <w:spacing w:val="0"/>
                <w:sz w:val="18"/>
                <w:szCs w:val="18"/>
              </w:rPr>
            </w:pPr>
            <w:r w:rsidRPr="0088514C">
              <w:rPr>
                <w:rFonts w:ascii="Times New Roman" w:eastAsia="Times New Roman" w:hAnsi="Times New Roman" w:cs="Times New Roman"/>
                <w:spacing w:val="0"/>
              </w:rPr>
              <w:t> </w:t>
            </w:r>
          </w:p>
        </w:tc>
        <w:tc>
          <w:tcPr>
            <w:tcW w:w="1425" w:type="dxa"/>
            <w:tcBorders>
              <w:top w:val="single" w:sz="6" w:space="0" w:color="auto"/>
              <w:left w:val="single" w:sz="6" w:space="0" w:color="auto"/>
              <w:bottom w:val="single" w:sz="6" w:space="0" w:color="auto"/>
              <w:right w:val="single" w:sz="12" w:space="0" w:color="auto"/>
            </w:tcBorders>
            <w:shd w:val="clear" w:color="auto" w:fill="000000"/>
            <w:vAlign w:val="center"/>
            <w:hideMark/>
          </w:tcPr>
          <w:p w14:paraId="2D348773" w14:textId="77777777" w:rsidR="0088514C" w:rsidRPr="0088514C" w:rsidRDefault="0088514C" w:rsidP="0088514C">
            <w:pPr>
              <w:spacing w:after="0" w:line="240" w:lineRule="auto"/>
              <w:jc w:val="center"/>
              <w:textAlignment w:val="baseline"/>
              <w:rPr>
                <w:rFonts w:ascii="Segoe UI" w:eastAsia="Times New Roman" w:hAnsi="Segoe UI" w:cs="Segoe UI"/>
                <w:spacing w:val="0"/>
                <w:sz w:val="18"/>
                <w:szCs w:val="18"/>
              </w:rPr>
            </w:pPr>
            <w:r w:rsidRPr="0088514C">
              <w:rPr>
                <w:rFonts w:ascii="Times New Roman" w:eastAsia="Times New Roman" w:hAnsi="Times New Roman" w:cs="Times New Roman"/>
                <w:spacing w:val="0"/>
              </w:rPr>
              <w:t> </w:t>
            </w:r>
          </w:p>
        </w:tc>
        <w:tc>
          <w:tcPr>
            <w:tcW w:w="7185" w:type="dxa"/>
            <w:gridSpan w:val="5"/>
            <w:tcBorders>
              <w:top w:val="single" w:sz="6" w:space="0" w:color="auto"/>
              <w:left w:val="single" w:sz="12" w:space="0" w:color="auto"/>
              <w:bottom w:val="single" w:sz="6" w:space="0" w:color="auto"/>
              <w:right w:val="single" w:sz="6" w:space="0" w:color="auto"/>
            </w:tcBorders>
            <w:shd w:val="clear" w:color="auto" w:fill="2F5496"/>
            <w:vAlign w:val="center"/>
            <w:hideMark/>
          </w:tcPr>
          <w:p w14:paraId="533D0B90"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b/>
                <w:color w:val="FFFFFF"/>
                <w:spacing w:val="0"/>
              </w:rPr>
              <w:t>Current Position Designation</w:t>
            </w:r>
            <w:r w:rsidRPr="00BA09AD">
              <w:rPr>
                <w:rFonts w:eastAsia="Times New Roman" w:cs="Times New Roman"/>
                <w:color w:val="FFFFFF"/>
                <w:spacing w:val="0"/>
              </w:rPr>
              <w:t> </w:t>
            </w:r>
          </w:p>
        </w:tc>
      </w:tr>
      <w:tr w:rsidR="0088514C" w:rsidRPr="0088514C" w14:paraId="4D5BA03C" w14:textId="77777777" w:rsidTr="0088514C">
        <w:trPr>
          <w:trHeight w:val="1080"/>
        </w:trPr>
        <w:tc>
          <w:tcPr>
            <w:tcW w:w="1410" w:type="dxa"/>
            <w:tcBorders>
              <w:top w:val="single" w:sz="6" w:space="0" w:color="auto"/>
              <w:left w:val="single" w:sz="6" w:space="0" w:color="auto"/>
              <w:bottom w:val="single" w:sz="12" w:space="0" w:color="auto"/>
              <w:right w:val="single" w:sz="6" w:space="0" w:color="auto"/>
            </w:tcBorders>
            <w:shd w:val="clear" w:color="auto" w:fill="000000"/>
            <w:vAlign w:val="center"/>
            <w:hideMark/>
          </w:tcPr>
          <w:p w14:paraId="327F93A7" w14:textId="77777777" w:rsidR="0088514C" w:rsidRPr="0088514C" w:rsidRDefault="0088514C" w:rsidP="0088514C">
            <w:pPr>
              <w:spacing w:after="0" w:line="240" w:lineRule="auto"/>
              <w:jc w:val="center"/>
              <w:textAlignment w:val="baseline"/>
              <w:rPr>
                <w:rFonts w:ascii="Segoe UI" w:eastAsia="Times New Roman" w:hAnsi="Segoe UI" w:cs="Segoe UI"/>
                <w:spacing w:val="0"/>
                <w:sz w:val="18"/>
                <w:szCs w:val="18"/>
              </w:rPr>
            </w:pPr>
            <w:r w:rsidRPr="0088514C">
              <w:rPr>
                <w:rFonts w:ascii="Times New Roman" w:eastAsia="Times New Roman" w:hAnsi="Times New Roman" w:cs="Times New Roman"/>
                <w:spacing w:val="0"/>
              </w:rPr>
              <w:t> </w:t>
            </w:r>
          </w:p>
        </w:tc>
        <w:tc>
          <w:tcPr>
            <w:tcW w:w="1425" w:type="dxa"/>
            <w:tcBorders>
              <w:top w:val="single" w:sz="6" w:space="0" w:color="auto"/>
              <w:left w:val="single" w:sz="6" w:space="0" w:color="auto"/>
              <w:bottom w:val="single" w:sz="12" w:space="0" w:color="auto"/>
              <w:right w:val="single" w:sz="12" w:space="0" w:color="auto"/>
            </w:tcBorders>
            <w:shd w:val="clear" w:color="auto" w:fill="000000"/>
            <w:hideMark/>
          </w:tcPr>
          <w:p w14:paraId="635045B5" w14:textId="77777777" w:rsidR="0088514C" w:rsidRPr="0088514C" w:rsidRDefault="0088514C" w:rsidP="0088514C">
            <w:pPr>
              <w:spacing w:after="0" w:line="240" w:lineRule="auto"/>
              <w:textAlignment w:val="baseline"/>
              <w:rPr>
                <w:rFonts w:ascii="Segoe UI" w:eastAsia="Times New Roman" w:hAnsi="Segoe UI" w:cs="Segoe UI"/>
                <w:spacing w:val="0"/>
                <w:sz w:val="18"/>
                <w:szCs w:val="18"/>
              </w:rPr>
            </w:pPr>
            <w:r w:rsidRPr="0088514C">
              <w:rPr>
                <w:rFonts w:ascii="Times New Roman" w:eastAsia="Times New Roman" w:hAnsi="Times New Roman" w:cs="Times New Roman"/>
                <w:spacing w:val="0"/>
              </w:rPr>
              <w:t> </w:t>
            </w:r>
          </w:p>
        </w:tc>
        <w:tc>
          <w:tcPr>
            <w:tcW w:w="1425" w:type="dxa"/>
            <w:tcBorders>
              <w:top w:val="single" w:sz="12" w:space="0" w:color="auto"/>
              <w:left w:val="single" w:sz="12" w:space="0" w:color="auto"/>
              <w:bottom w:val="single" w:sz="12" w:space="0" w:color="auto"/>
              <w:right w:val="single" w:sz="6" w:space="0" w:color="auto"/>
            </w:tcBorders>
            <w:shd w:val="clear" w:color="auto" w:fill="D9D9D9"/>
            <w:vAlign w:val="center"/>
            <w:hideMark/>
          </w:tcPr>
          <w:p w14:paraId="198F1B01"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Low Risk </w:t>
            </w:r>
          </w:p>
        </w:tc>
        <w:tc>
          <w:tcPr>
            <w:tcW w:w="1425" w:type="dxa"/>
            <w:tcBorders>
              <w:top w:val="single" w:sz="12" w:space="0" w:color="auto"/>
              <w:left w:val="single" w:sz="6" w:space="0" w:color="auto"/>
              <w:bottom w:val="single" w:sz="12" w:space="0" w:color="auto"/>
              <w:right w:val="single" w:sz="6" w:space="0" w:color="auto"/>
            </w:tcBorders>
            <w:shd w:val="clear" w:color="auto" w:fill="D9D9D9"/>
            <w:vAlign w:val="center"/>
            <w:hideMark/>
          </w:tcPr>
          <w:p w14:paraId="220BBE92"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Moderate Risk / Non-NSS </w:t>
            </w:r>
          </w:p>
        </w:tc>
        <w:tc>
          <w:tcPr>
            <w:tcW w:w="1425" w:type="dxa"/>
            <w:tcBorders>
              <w:top w:val="single" w:sz="12" w:space="0" w:color="auto"/>
              <w:left w:val="single" w:sz="6" w:space="0" w:color="auto"/>
              <w:bottom w:val="single" w:sz="12" w:space="0" w:color="auto"/>
              <w:right w:val="single" w:sz="6" w:space="0" w:color="auto"/>
            </w:tcBorders>
            <w:shd w:val="clear" w:color="auto" w:fill="D9D9D9"/>
            <w:vAlign w:val="center"/>
            <w:hideMark/>
          </w:tcPr>
          <w:p w14:paraId="379AAC46"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Moderate Risk / NSS </w:t>
            </w:r>
          </w:p>
        </w:tc>
        <w:tc>
          <w:tcPr>
            <w:tcW w:w="1425" w:type="dxa"/>
            <w:tcBorders>
              <w:top w:val="single" w:sz="12" w:space="0" w:color="auto"/>
              <w:left w:val="single" w:sz="6" w:space="0" w:color="auto"/>
              <w:bottom w:val="single" w:sz="12" w:space="0" w:color="auto"/>
              <w:right w:val="single" w:sz="6" w:space="0" w:color="auto"/>
            </w:tcBorders>
            <w:shd w:val="clear" w:color="auto" w:fill="D9D9D9"/>
            <w:vAlign w:val="center"/>
            <w:hideMark/>
          </w:tcPr>
          <w:p w14:paraId="43CFCCFA"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High Risk / Non-NSS </w:t>
            </w:r>
          </w:p>
        </w:tc>
        <w:tc>
          <w:tcPr>
            <w:tcW w:w="1440" w:type="dxa"/>
            <w:tcBorders>
              <w:top w:val="single" w:sz="12" w:space="0" w:color="auto"/>
              <w:left w:val="single" w:sz="6" w:space="0" w:color="auto"/>
              <w:bottom w:val="single" w:sz="12" w:space="0" w:color="auto"/>
              <w:right w:val="single" w:sz="6" w:space="0" w:color="auto"/>
            </w:tcBorders>
            <w:shd w:val="clear" w:color="auto" w:fill="D9D9D9"/>
            <w:vAlign w:val="center"/>
            <w:hideMark/>
          </w:tcPr>
          <w:p w14:paraId="15F75A9B"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High Risk / NSS </w:t>
            </w:r>
          </w:p>
        </w:tc>
      </w:tr>
      <w:tr w:rsidR="0088514C" w:rsidRPr="0088514C" w14:paraId="6A3E63A7" w14:textId="77777777" w:rsidTr="0088514C">
        <w:trPr>
          <w:trHeight w:val="1080"/>
        </w:trPr>
        <w:tc>
          <w:tcPr>
            <w:tcW w:w="1410" w:type="dxa"/>
            <w:vMerge w:val="restart"/>
            <w:tcBorders>
              <w:top w:val="single" w:sz="12" w:space="0" w:color="auto"/>
              <w:left w:val="single" w:sz="6" w:space="0" w:color="auto"/>
              <w:bottom w:val="single" w:sz="6" w:space="0" w:color="auto"/>
              <w:right w:val="single" w:sz="12" w:space="0" w:color="auto"/>
            </w:tcBorders>
            <w:shd w:val="clear" w:color="auto" w:fill="2F5496"/>
            <w:vAlign w:val="center"/>
            <w:hideMark/>
          </w:tcPr>
          <w:p w14:paraId="4F1EF2EA"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b/>
                <w:color w:val="FFFFFF"/>
                <w:spacing w:val="0"/>
              </w:rPr>
              <w:t>New Position Designation</w:t>
            </w:r>
            <w:r w:rsidRPr="00BA09AD">
              <w:rPr>
                <w:rFonts w:eastAsia="Times New Roman" w:cs="Times New Roman"/>
                <w:color w:val="FFFFFF"/>
                <w:spacing w:val="0"/>
              </w:rPr>
              <w:t> </w:t>
            </w:r>
          </w:p>
        </w:tc>
        <w:tc>
          <w:tcPr>
            <w:tcW w:w="1425" w:type="dxa"/>
            <w:tcBorders>
              <w:top w:val="single" w:sz="12" w:space="0" w:color="auto"/>
              <w:left w:val="single" w:sz="12" w:space="0" w:color="auto"/>
              <w:bottom w:val="single" w:sz="6" w:space="0" w:color="auto"/>
              <w:right w:val="single" w:sz="12" w:space="0" w:color="auto"/>
            </w:tcBorders>
            <w:shd w:val="clear" w:color="auto" w:fill="D9D9D9"/>
            <w:vAlign w:val="center"/>
            <w:hideMark/>
          </w:tcPr>
          <w:p w14:paraId="7159E208"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Low Risk </w:t>
            </w:r>
          </w:p>
        </w:tc>
        <w:tc>
          <w:tcPr>
            <w:tcW w:w="1425"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204143BF"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N/A </w:t>
            </w:r>
          </w:p>
        </w:tc>
        <w:tc>
          <w:tcPr>
            <w:tcW w:w="1425"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02D0AD2A"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N/A </w:t>
            </w:r>
          </w:p>
        </w:tc>
        <w:tc>
          <w:tcPr>
            <w:tcW w:w="1425"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1A8FCF45"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N/A </w:t>
            </w:r>
          </w:p>
        </w:tc>
        <w:tc>
          <w:tcPr>
            <w:tcW w:w="1425"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1A0F4796"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N/A </w:t>
            </w:r>
          </w:p>
        </w:tc>
        <w:tc>
          <w:tcPr>
            <w:tcW w:w="1440"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573A14D7"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N/A </w:t>
            </w:r>
          </w:p>
        </w:tc>
      </w:tr>
      <w:tr w:rsidR="0088514C" w:rsidRPr="0088514C" w14:paraId="77EE1DFD" w14:textId="77777777" w:rsidTr="0088514C">
        <w:trPr>
          <w:trHeight w:val="1080"/>
        </w:trPr>
        <w:tc>
          <w:tcPr>
            <w:tcW w:w="0" w:type="auto"/>
            <w:vMerge/>
            <w:tcBorders>
              <w:top w:val="single" w:sz="12" w:space="0" w:color="auto"/>
              <w:left w:val="single" w:sz="6" w:space="0" w:color="auto"/>
              <w:bottom w:val="single" w:sz="6" w:space="0" w:color="auto"/>
              <w:right w:val="single" w:sz="12" w:space="0" w:color="auto"/>
            </w:tcBorders>
            <w:shd w:val="clear" w:color="auto" w:fill="auto"/>
            <w:vAlign w:val="center"/>
            <w:hideMark/>
          </w:tcPr>
          <w:p w14:paraId="7681FEEB" w14:textId="77777777" w:rsidR="0088514C" w:rsidRPr="0088514C" w:rsidRDefault="0088514C" w:rsidP="0088514C">
            <w:pPr>
              <w:spacing w:after="0" w:line="240" w:lineRule="auto"/>
              <w:rPr>
                <w:rFonts w:ascii="Segoe UI" w:eastAsia="Times New Roman" w:hAnsi="Segoe UI" w:cs="Segoe UI"/>
                <w:spacing w:val="0"/>
                <w:sz w:val="18"/>
                <w:szCs w:val="18"/>
              </w:rPr>
            </w:pPr>
          </w:p>
        </w:tc>
        <w:tc>
          <w:tcPr>
            <w:tcW w:w="1425" w:type="dxa"/>
            <w:tcBorders>
              <w:top w:val="single" w:sz="6" w:space="0" w:color="auto"/>
              <w:left w:val="single" w:sz="12" w:space="0" w:color="auto"/>
              <w:bottom w:val="single" w:sz="6" w:space="0" w:color="auto"/>
              <w:right w:val="single" w:sz="12" w:space="0" w:color="auto"/>
            </w:tcBorders>
            <w:shd w:val="clear" w:color="auto" w:fill="D9D9D9"/>
            <w:vAlign w:val="center"/>
            <w:hideMark/>
          </w:tcPr>
          <w:p w14:paraId="741D63DF"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Moderate Risk / Non-NSS </w:t>
            </w:r>
          </w:p>
        </w:tc>
        <w:tc>
          <w:tcPr>
            <w:tcW w:w="142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268D4E6F"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Moderate Tier / T2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06CBDF"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N/A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C7F1CC"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N/A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93D30A"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N/A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13D564"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N/A </w:t>
            </w:r>
          </w:p>
        </w:tc>
      </w:tr>
      <w:tr w:rsidR="0088514C" w:rsidRPr="0088514C" w14:paraId="3BE2F2E9" w14:textId="77777777" w:rsidTr="0088514C">
        <w:trPr>
          <w:trHeight w:val="1080"/>
        </w:trPr>
        <w:tc>
          <w:tcPr>
            <w:tcW w:w="0" w:type="auto"/>
            <w:vMerge/>
            <w:tcBorders>
              <w:top w:val="single" w:sz="12" w:space="0" w:color="auto"/>
              <w:left w:val="single" w:sz="6" w:space="0" w:color="auto"/>
              <w:bottom w:val="single" w:sz="6" w:space="0" w:color="auto"/>
              <w:right w:val="single" w:sz="12" w:space="0" w:color="auto"/>
            </w:tcBorders>
            <w:shd w:val="clear" w:color="auto" w:fill="auto"/>
            <w:vAlign w:val="center"/>
            <w:hideMark/>
          </w:tcPr>
          <w:p w14:paraId="050169C0" w14:textId="77777777" w:rsidR="0088514C" w:rsidRPr="0088514C" w:rsidRDefault="0088514C" w:rsidP="0088514C">
            <w:pPr>
              <w:spacing w:after="0" w:line="240" w:lineRule="auto"/>
              <w:rPr>
                <w:rFonts w:ascii="Segoe UI" w:eastAsia="Times New Roman" w:hAnsi="Segoe UI" w:cs="Segoe UI"/>
                <w:spacing w:val="0"/>
                <w:sz w:val="18"/>
                <w:szCs w:val="18"/>
              </w:rPr>
            </w:pPr>
          </w:p>
        </w:tc>
        <w:tc>
          <w:tcPr>
            <w:tcW w:w="1425" w:type="dxa"/>
            <w:tcBorders>
              <w:top w:val="single" w:sz="6" w:space="0" w:color="auto"/>
              <w:left w:val="single" w:sz="12" w:space="0" w:color="auto"/>
              <w:bottom w:val="single" w:sz="6" w:space="0" w:color="auto"/>
              <w:right w:val="single" w:sz="12" w:space="0" w:color="auto"/>
            </w:tcBorders>
            <w:shd w:val="clear" w:color="auto" w:fill="D9D9D9"/>
            <w:vAlign w:val="center"/>
            <w:hideMark/>
          </w:tcPr>
          <w:p w14:paraId="2242A186"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Moderate Risk / NSS </w:t>
            </w:r>
          </w:p>
        </w:tc>
        <w:tc>
          <w:tcPr>
            <w:tcW w:w="142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13B630D"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Moderate Tier / T3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53CD9B"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Investigate Triggers, if Applicable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036BBB"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N/A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48B628"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Investigate Triggers, if Applicable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80F27A"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N/A </w:t>
            </w:r>
          </w:p>
        </w:tc>
      </w:tr>
      <w:tr w:rsidR="0088514C" w:rsidRPr="0088514C" w14:paraId="4FA720D2" w14:textId="77777777" w:rsidTr="0088514C">
        <w:trPr>
          <w:trHeight w:val="1080"/>
        </w:trPr>
        <w:tc>
          <w:tcPr>
            <w:tcW w:w="0" w:type="auto"/>
            <w:vMerge/>
            <w:tcBorders>
              <w:top w:val="single" w:sz="12" w:space="0" w:color="auto"/>
              <w:left w:val="single" w:sz="6" w:space="0" w:color="auto"/>
              <w:bottom w:val="single" w:sz="6" w:space="0" w:color="auto"/>
              <w:right w:val="single" w:sz="12" w:space="0" w:color="auto"/>
            </w:tcBorders>
            <w:shd w:val="clear" w:color="auto" w:fill="auto"/>
            <w:vAlign w:val="center"/>
            <w:hideMark/>
          </w:tcPr>
          <w:p w14:paraId="0C8D9E27" w14:textId="77777777" w:rsidR="0088514C" w:rsidRPr="0088514C" w:rsidRDefault="0088514C" w:rsidP="0088514C">
            <w:pPr>
              <w:spacing w:after="0" w:line="240" w:lineRule="auto"/>
              <w:rPr>
                <w:rFonts w:ascii="Segoe UI" w:eastAsia="Times New Roman" w:hAnsi="Segoe UI" w:cs="Segoe UI"/>
                <w:spacing w:val="0"/>
                <w:sz w:val="18"/>
                <w:szCs w:val="18"/>
              </w:rPr>
            </w:pPr>
          </w:p>
        </w:tc>
        <w:tc>
          <w:tcPr>
            <w:tcW w:w="1425" w:type="dxa"/>
            <w:tcBorders>
              <w:top w:val="single" w:sz="6" w:space="0" w:color="auto"/>
              <w:left w:val="single" w:sz="12" w:space="0" w:color="auto"/>
              <w:bottom w:val="single" w:sz="6" w:space="0" w:color="auto"/>
              <w:right w:val="single" w:sz="12" w:space="0" w:color="auto"/>
            </w:tcBorders>
            <w:shd w:val="clear" w:color="auto" w:fill="D9D9D9"/>
            <w:vAlign w:val="center"/>
            <w:hideMark/>
          </w:tcPr>
          <w:p w14:paraId="2FF8F8EA"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High Risk / Non-NSS </w:t>
            </w:r>
          </w:p>
        </w:tc>
        <w:tc>
          <w:tcPr>
            <w:tcW w:w="142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D71EC11"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High Tier / T4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7A37D2"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High Tier / T4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BC3FA4"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High Tier / T4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E253F0"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N/A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BB0478"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N/A </w:t>
            </w:r>
          </w:p>
        </w:tc>
      </w:tr>
      <w:tr w:rsidR="0088514C" w:rsidRPr="0088514C" w14:paraId="101E14D0" w14:textId="77777777" w:rsidTr="0088514C">
        <w:trPr>
          <w:trHeight w:val="1080"/>
        </w:trPr>
        <w:tc>
          <w:tcPr>
            <w:tcW w:w="0" w:type="auto"/>
            <w:vMerge/>
            <w:tcBorders>
              <w:top w:val="single" w:sz="12" w:space="0" w:color="auto"/>
              <w:left w:val="single" w:sz="6" w:space="0" w:color="auto"/>
              <w:bottom w:val="single" w:sz="6" w:space="0" w:color="auto"/>
              <w:right w:val="single" w:sz="12" w:space="0" w:color="auto"/>
            </w:tcBorders>
            <w:shd w:val="clear" w:color="auto" w:fill="auto"/>
            <w:vAlign w:val="center"/>
            <w:hideMark/>
          </w:tcPr>
          <w:p w14:paraId="59A2FF17" w14:textId="77777777" w:rsidR="0088514C" w:rsidRPr="0088514C" w:rsidRDefault="0088514C" w:rsidP="0088514C">
            <w:pPr>
              <w:spacing w:after="0" w:line="240" w:lineRule="auto"/>
              <w:rPr>
                <w:rFonts w:ascii="Segoe UI" w:eastAsia="Times New Roman" w:hAnsi="Segoe UI" w:cs="Segoe UI"/>
                <w:spacing w:val="0"/>
                <w:sz w:val="18"/>
                <w:szCs w:val="18"/>
              </w:rPr>
            </w:pPr>
          </w:p>
        </w:tc>
        <w:tc>
          <w:tcPr>
            <w:tcW w:w="1425" w:type="dxa"/>
            <w:tcBorders>
              <w:top w:val="single" w:sz="6" w:space="0" w:color="auto"/>
              <w:left w:val="single" w:sz="12" w:space="0" w:color="auto"/>
              <w:bottom w:val="single" w:sz="6" w:space="0" w:color="auto"/>
              <w:right w:val="single" w:sz="12" w:space="0" w:color="auto"/>
            </w:tcBorders>
            <w:shd w:val="clear" w:color="auto" w:fill="D9D9D9"/>
            <w:vAlign w:val="center"/>
            <w:hideMark/>
          </w:tcPr>
          <w:p w14:paraId="5D20F749"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High Risk / NSS </w:t>
            </w:r>
          </w:p>
        </w:tc>
        <w:tc>
          <w:tcPr>
            <w:tcW w:w="142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4BB94DE"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High Tier / T5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4AF153"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High Tier / T5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18CD7A"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High Tier / T5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8F905E"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Investigate Triggers, if Applicable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A25831"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N/A </w:t>
            </w:r>
          </w:p>
        </w:tc>
      </w:tr>
    </w:tbl>
    <w:p w14:paraId="3A6AF28B" w14:textId="1D48F68F" w:rsidR="006D6FD7" w:rsidRPr="00BA09AD" w:rsidRDefault="006D6FD7" w:rsidP="00BA09AD">
      <w:pPr>
        <w:spacing w:before="120"/>
        <w:rPr>
          <w:rFonts w:eastAsia="Times New Roman" w:cs="Times New Roman"/>
          <w:spacing w:val="0"/>
        </w:rPr>
      </w:pPr>
      <w:r w:rsidRPr="00BA09AD">
        <w:rPr>
          <w:rFonts w:eastAsia="Times New Roman" w:cs="Times New Roman"/>
          <w:spacing w:val="0"/>
        </w:rPr>
        <w:t xml:space="preserve">If the prior investigation meets or exceeds the required level, the agency will determine if the individual is enrolled in continuous vetting. If so, the individual’s investigation is current and must be reciprocally accepted. If the individual is not enrolled, the agency must refer to policy and implementation guidance on the vetting scenarios and continuous vetting for the next course of action. </w:t>
      </w:r>
    </w:p>
    <w:p w14:paraId="5533BF47" w14:textId="77777777" w:rsidR="006D6FD7" w:rsidRPr="00BA09AD" w:rsidRDefault="006D6FD7" w:rsidP="00BA09AD">
      <w:pPr>
        <w:rPr>
          <w:rFonts w:eastAsia="Times New Roman" w:cs="Times New Roman"/>
          <w:spacing w:val="0"/>
        </w:rPr>
      </w:pPr>
      <w:r w:rsidRPr="00BA09AD">
        <w:rPr>
          <w:rFonts w:eastAsia="Times New Roman" w:cs="Times New Roman"/>
          <w:spacing w:val="0"/>
        </w:rPr>
        <w:t xml:space="preserve">If the investigation is not at the correct level, meaning it is lower than what is required for the new position, the </w:t>
      </w:r>
      <w:r w:rsidRPr="00BA09AD">
        <w:rPr>
          <w:rFonts w:eastAsia="Times New Roman" w:cs="Times New Roman"/>
          <w:b/>
          <w:spacing w:val="0"/>
        </w:rPr>
        <w:t>Trusted Workforce 2.0 Implementation and Operational-Level Guidance for Departments and Agencies and Authorized Investigative Service Providers – Upgrades, Transfer of Trust, and Re-establishment of Trust Vetting Scenarios</w:t>
      </w:r>
      <w:r w:rsidRPr="00BA09AD">
        <w:rPr>
          <w:rFonts w:eastAsia="Times New Roman" w:cs="Times New Roman"/>
          <w:i/>
          <w:spacing w:val="0"/>
        </w:rPr>
        <w:t xml:space="preserve"> </w:t>
      </w:r>
      <w:r w:rsidRPr="00BA09AD">
        <w:rPr>
          <w:rFonts w:eastAsia="Times New Roman" w:cs="Times New Roman"/>
          <w:spacing w:val="0"/>
        </w:rPr>
        <w:t>provides requirements for conducting the upgrade.</w:t>
      </w:r>
    </w:p>
    <w:p w14:paraId="0B43E87E" w14:textId="4754D9BE" w:rsidR="006D6FD7" w:rsidRPr="00BA09AD" w:rsidRDefault="006D6FD7" w:rsidP="00A76C9A">
      <w:pPr>
        <w:rPr>
          <w:rFonts w:eastAsia="Times New Roman" w:cs="Times New Roman"/>
          <w:spacing w:val="0"/>
        </w:rPr>
      </w:pPr>
      <w:r w:rsidRPr="00BA09AD">
        <w:rPr>
          <w:rFonts w:eastAsia="Times New Roman" w:cs="Times New Roman"/>
          <w:spacing w:val="0"/>
        </w:rPr>
        <w:t xml:space="preserve">If there was a break in service, refer to the </w:t>
      </w:r>
      <w:r w:rsidRPr="00BA09AD">
        <w:rPr>
          <w:rFonts w:eastAsia="Times New Roman" w:cs="Times New Roman"/>
          <w:b/>
          <w:spacing w:val="0"/>
        </w:rPr>
        <w:t>Trusted Workforce 2.0 Implementation and Operational-Level Guidance for Departments and Agencies and Authorized Investigative Service Providers – Upgrades, Transfer of Trust, and Re-establishment of Trust Vetting Scenarios</w:t>
      </w:r>
      <w:r w:rsidRPr="00BA09AD">
        <w:rPr>
          <w:rFonts w:eastAsia="Times New Roman" w:cs="Times New Roman"/>
          <w:i/>
          <w:spacing w:val="0"/>
        </w:rPr>
        <w:t xml:space="preserve">. </w:t>
      </w:r>
      <w:r w:rsidRPr="00BA09AD">
        <w:rPr>
          <w:rFonts w:eastAsia="Times New Roman" w:cs="Times New Roman"/>
          <w:spacing w:val="0"/>
        </w:rPr>
        <w:t>That guidance address</w:t>
      </w:r>
      <w:r w:rsidR="002D6534" w:rsidRPr="00BA09AD">
        <w:rPr>
          <w:rFonts w:eastAsia="Times New Roman" w:cs="Times New Roman"/>
          <w:spacing w:val="0"/>
        </w:rPr>
        <w:t>es</w:t>
      </w:r>
      <w:r w:rsidRPr="00BA09AD">
        <w:rPr>
          <w:rFonts w:eastAsia="Times New Roman" w:cs="Times New Roman"/>
          <w:spacing w:val="0"/>
        </w:rPr>
        <w:t xml:space="preserve"> processing breaks in service of less than 36 months, 36 months to five years, or more than five. </w:t>
      </w:r>
    </w:p>
    <w:p w14:paraId="081EA5A4" w14:textId="26B8662B" w:rsidR="00E4113A" w:rsidRPr="00A76C9A" w:rsidRDefault="006D6FD7" w:rsidP="00A76C9A">
      <w:pPr>
        <w:rPr>
          <w:rFonts w:eastAsia="Times New Roman" w:cs="Times New Roman"/>
          <w:spacing w:val="0"/>
        </w:rPr>
      </w:pPr>
      <w:r w:rsidRPr="00BA09AD">
        <w:rPr>
          <w:rFonts w:eastAsia="Times New Roman" w:cs="Times New Roman"/>
          <w:spacing w:val="0"/>
        </w:rPr>
        <w:t xml:space="preserve">If a prior investigation was not conducted, the individual is subject to investigation and the agency will initiate initial vetting. </w:t>
      </w:r>
      <w:r w:rsidR="00626CFB" w:rsidRPr="00BA09AD">
        <w:rPr>
          <w:rFonts w:eastAsia="Times New Roman" w:cs="Times New Roman"/>
          <w:spacing w:val="0"/>
        </w:rPr>
        <w:t>In accordance with</w:t>
      </w:r>
      <w:r w:rsidR="00340DE4">
        <w:rPr>
          <w:rFonts w:eastAsia="Times New Roman" w:cs="Times New Roman"/>
          <w:spacing w:val="0"/>
        </w:rPr>
        <w:t xml:space="preserve"> 5 C.F.R.</w:t>
      </w:r>
      <w:r w:rsidR="00626CFB" w:rsidRPr="00BA09AD">
        <w:rPr>
          <w:rFonts w:eastAsia="Times New Roman" w:cs="Times New Roman"/>
          <w:spacing w:val="0"/>
        </w:rPr>
        <w:t xml:space="preserve"> §</w:t>
      </w:r>
      <w:r w:rsidR="2A4739A3" w:rsidRPr="00BA09AD">
        <w:rPr>
          <w:rFonts w:eastAsia="Times New Roman" w:cs="Times New Roman"/>
          <w:spacing w:val="0"/>
        </w:rPr>
        <w:t xml:space="preserve"> </w:t>
      </w:r>
      <w:r w:rsidR="00626CFB" w:rsidRPr="00BA09AD">
        <w:rPr>
          <w:rFonts w:eastAsia="Times New Roman" w:cs="Times New Roman"/>
          <w:spacing w:val="0"/>
        </w:rPr>
        <w:t xml:space="preserve">731.106(c), the investigation should be initiated before the individual is appointed or otherwise becomes employed. Agencies should also keep in mind </w:t>
      </w:r>
      <w:r w:rsidR="00E4113A" w:rsidRPr="00BA09AD">
        <w:rPr>
          <w:rFonts w:eastAsia="Times New Roman" w:cs="Times New Roman"/>
          <w:spacing w:val="0"/>
        </w:rPr>
        <w:t xml:space="preserve">the requirements for issuing a personal identity verification credential, which as specified in </w:t>
      </w:r>
      <w:r w:rsidR="00626CFB" w:rsidRPr="00BA09AD">
        <w:rPr>
          <w:rFonts w:eastAsia="Times New Roman" w:cs="Times New Roman"/>
          <w:spacing w:val="0"/>
        </w:rPr>
        <w:t>OPM guidance</w:t>
      </w:r>
      <w:r w:rsidR="00E4113A" w:rsidRPr="00A76C9A">
        <w:rPr>
          <w:rStyle w:val="FootnoteReference"/>
          <w:rFonts w:eastAsia="Times New Roman" w:cs="Times New Roman"/>
          <w:spacing w:val="0"/>
        </w:rPr>
        <w:footnoteReference w:id="4"/>
      </w:r>
      <w:r w:rsidR="00E4113A" w:rsidRPr="00A76C9A">
        <w:rPr>
          <w:rFonts w:eastAsia="Times New Roman" w:cs="Times New Roman"/>
          <w:spacing w:val="0"/>
        </w:rPr>
        <w:t>, require the agency to initiate a background investigation and ensure a fingerprint check is completed before issuing an identity credential. As an ideal process, agencies should also make a preliminary determination ahead of an onboarding decision. See preliminary determination</w:t>
      </w:r>
      <w:r w:rsidR="00340DE4">
        <w:rPr>
          <w:rFonts w:eastAsia="Times New Roman" w:cs="Times New Roman"/>
        </w:rPr>
        <w:t xml:space="preserve"> in </w:t>
      </w:r>
      <w:hyperlink w:anchor="_2.1_–_Preliminary" w:history="1">
        <w:r w:rsidR="00340DE4" w:rsidRPr="00AF3DA5">
          <w:rPr>
            <w:rStyle w:val="Hyperlink"/>
            <w:rFonts w:eastAsia="Times New Roman" w:cs="Times New Roman"/>
          </w:rPr>
          <w:t>Volume 2</w:t>
        </w:r>
      </w:hyperlink>
      <w:r w:rsidR="00727F07" w:rsidRPr="00A76C9A">
        <w:rPr>
          <w:rFonts w:eastAsia="Times New Roman" w:cs="Times New Roman"/>
          <w:spacing w:val="0"/>
        </w:rPr>
        <w:t xml:space="preserve"> of this Manual.</w:t>
      </w:r>
      <w:r w:rsidR="00E4113A" w:rsidRPr="00A76C9A">
        <w:rPr>
          <w:rFonts w:eastAsia="Times New Roman" w:cs="Times New Roman"/>
          <w:spacing w:val="0"/>
        </w:rPr>
        <w:t xml:space="preserve"> </w:t>
      </w:r>
    </w:p>
    <w:p w14:paraId="365E07E8" w14:textId="1489FCE6" w:rsidR="006D6FD7" w:rsidRPr="00A76C9A" w:rsidRDefault="006D6FD7" w:rsidP="00A76C9A">
      <w:pPr>
        <w:rPr>
          <w:rFonts w:eastAsia="Times New Roman" w:cs="Times New Roman"/>
          <w:spacing w:val="0"/>
        </w:rPr>
      </w:pPr>
      <w:r w:rsidRPr="00A76C9A">
        <w:rPr>
          <w:rFonts w:eastAsia="Times New Roman" w:cs="Times New Roman"/>
          <w:spacing w:val="0"/>
        </w:rPr>
        <w:t xml:space="preserve">Of note, the positions that are intermittent, per diem, or temporary in nature, not to exceed an aggregate of 180 days per year in either a single continuous appointment or series of appointments, do not require a background investigation for suitability or fitness; however, the agency must conduct such checks as it deems appropriate to ensure the suitability or fitness of the person. </w:t>
      </w:r>
      <w:r w:rsidR="00CB1AAC" w:rsidRPr="00A76C9A">
        <w:rPr>
          <w:rFonts w:eastAsia="Times New Roman" w:cs="Times New Roman"/>
          <w:spacing w:val="0"/>
        </w:rPr>
        <w:t xml:space="preserve">OPM may prescribe specific checks for these positions and any such requirements will be made available in a separate issuance. </w:t>
      </w:r>
    </w:p>
    <w:p w14:paraId="7BCA352F" w14:textId="1E8CD3AB" w:rsidR="00CB1AAC" w:rsidRPr="00E4115A" w:rsidRDefault="00CB1AAC" w:rsidP="00FD3AF3">
      <w:pPr>
        <w:pStyle w:val="Heading3"/>
        <w:rPr>
          <w:rFonts w:eastAsia="Times New Roman" w:cs="Times New Roman"/>
          <w:spacing w:val="0"/>
        </w:rPr>
      </w:pPr>
      <w:bookmarkStart w:id="19" w:name="_Toc187052933"/>
      <w:bookmarkStart w:id="20" w:name="_Toc187924131"/>
      <w:r w:rsidRPr="548D0660">
        <w:rPr>
          <w:rStyle w:val="normaltextrun"/>
          <w:shd w:val="clear" w:color="auto" w:fill="FFFFFF"/>
        </w:rPr>
        <w:t>1.</w:t>
      </w:r>
      <w:r w:rsidR="005A2850" w:rsidRPr="00797412">
        <w:rPr>
          <w:rStyle w:val="normaltextrun"/>
        </w:rPr>
        <w:t>3.</w:t>
      </w:r>
      <w:r w:rsidR="00296B9F" w:rsidRPr="00797412">
        <w:rPr>
          <w:rStyle w:val="normaltextrun"/>
        </w:rPr>
        <w:t>2</w:t>
      </w:r>
      <w:r w:rsidRPr="548D0660">
        <w:rPr>
          <w:rStyle w:val="normaltextrun"/>
          <w:shd w:val="clear" w:color="auto" w:fill="FFFFFF"/>
        </w:rPr>
        <w:t xml:space="preserve"> – Reciprocity of </w:t>
      </w:r>
      <w:r w:rsidR="00946EF5" w:rsidRPr="548D0660">
        <w:rPr>
          <w:rStyle w:val="normaltextrun"/>
          <w:shd w:val="clear" w:color="auto" w:fill="FFFFFF"/>
        </w:rPr>
        <w:t>S</w:t>
      </w:r>
      <w:r w:rsidRPr="548D0660">
        <w:rPr>
          <w:rStyle w:val="normaltextrun"/>
          <w:shd w:val="clear" w:color="auto" w:fill="FFFFFF"/>
        </w:rPr>
        <w:t>uitability/</w:t>
      </w:r>
      <w:r w:rsidR="00946EF5" w:rsidRPr="548D0660">
        <w:rPr>
          <w:rStyle w:val="normaltextrun"/>
          <w:shd w:val="clear" w:color="auto" w:fill="FFFFFF"/>
        </w:rPr>
        <w:t>F</w:t>
      </w:r>
      <w:r w:rsidRPr="548D0660">
        <w:rPr>
          <w:rStyle w:val="normaltextrun"/>
          <w:shd w:val="clear" w:color="auto" w:fill="FFFFFF"/>
        </w:rPr>
        <w:t xml:space="preserve">itness </w:t>
      </w:r>
      <w:r w:rsidR="00946EF5" w:rsidRPr="548D0660">
        <w:rPr>
          <w:rStyle w:val="normaltextrun"/>
          <w:shd w:val="clear" w:color="auto" w:fill="FFFFFF"/>
        </w:rPr>
        <w:t>D</w:t>
      </w:r>
      <w:r w:rsidRPr="548D0660">
        <w:rPr>
          <w:rStyle w:val="normaltextrun"/>
          <w:shd w:val="clear" w:color="auto" w:fill="FFFFFF"/>
        </w:rPr>
        <w:t>eterminations</w:t>
      </w:r>
      <w:bookmarkEnd w:id="19"/>
      <w:bookmarkEnd w:id="20"/>
    </w:p>
    <w:p w14:paraId="506232B6" w14:textId="1042624A" w:rsidR="006D6FD7" w:rsidRPr="00A76C9A" w:rsidRDefault="006D6FD7" w:rsidP="005E0BA6">
      <w:pPr>
        <w:spacing w:after="60"/>
        <w:rPr>
          <w:rFonts w:eastAsia="Times New Roman" w:cs="Times New Roman"/>
          <w:spacing w:val="0"/>
        </w:rPr>
      </w:pPr>
      <w:r w:rsidRPr="00A76C9A">
        <w:rPr>
          <w:rFonts w:eastAsia="Times New Roman" w:cs="Times New Roman"/>
          <w:spacing w:val="0"/>
        </w:rPr>
        <w:t>When an agency determines via a check of the government</w:t>
      </w:r>
      <w:r w:rsidR="00BB21FA">
        <w:rPr>
          <w:rFonts w:eastAsia="Times New Roman" w:cs="Times New Roman"/>
          <w:spacing w:val="0"/>
        </w:rPr>
        <w:t>-</w:t>
      </w:r>
      <w:r w:rsidRPr="00A76C9A">
        <w:rPr>
          <w:rFonts w:eastAsia="Times New Roman" w:cs="Times New Roman"/>
          <w:spacing w:val="0"/>
        </w:rPr>
        <w:t xml:space="preserve">wide repository that they can reciprocally accept a prior investigation, they will need to determine if a prior favorable </w:t>
      </w:r>
      <w:r w:rsidRPr="00A76C9A">
        <w:rPr>
          <w:rFonts w:eastAsia="Times New Roman" w:cs="Times New Roman"/>
          <w:spacing w:val="0"/>
        </w:rPr>
        <w:lastRenderedPageBreak/>
        <w:t xml:space="preserve">suitability or fitness determination is available for reciprocity. If the record does not reflect a suitability or fitness determination, the agency may contact the prior adjudicating agency to determine if one was made. Additionally, </w:t>
      </w:r>
      <w:r w:rsidRPr="00AF3DA5">
        <w:rPr>
          <w:rFonts w:eastAsia="Times New Roman" w:cs="Times New Roman"/>
          <w:spacing w:val="0"/>
        </w:rPr>
        <w:t>in the absence of a record of a favorable suitability or fitness determination</w:t>
      </w:r>
      <w:r w:rsidRPr="00A76C9A">
        <w:rPr>
          <w:rFonts w:eastAsia="Times New Roman" w:cs="Times New Roman"/>
          <w:spacing w:val="0"/>
        </w:rPr>
        <w:t xml:space="preserve">, the agency must consider the following, </w:t>
      </w:r>
      <w:r w:rsidRPr="00A76C9A">
        <w:rPr>
          <w:rFonts w:eastAsia="Times New Roman" w:cs="Times New Roman"/>
          <w:b/>
          <w:spacing w:val="0"/>
        </w:rPr>
        <w:t>all of which must be true</w:t>
      </w:r>
      <w:r w:rsidRPr="00A76C9A">
        <w:rPr>
          <w:rFonts w:eastAsia="Times New Roman" w:cs="Times New Roman"/>
          <w:spacing w:val="0"/>
        </w:rPr>
        <w:t xml:space="preserve"> for reciprocity to apply:</w:t>
      </w:r>
    </w:p>
    <w:p w14:paraId="62404B61" w14:textId="77777777" w:rsidR="006D6FD7" w:rsidRPr="00971368" w:rsidRDefault="006D6FD7" w:rsidP="00A06D8B">
      <w:pPr>
        <w:numPr>
          <w:ilvl w:val="2"/>
          <w:numId w:val="18"/>
        </w:numPr>
        <w:tabs>
          <w:tab w:val="clear" w:pos="360"/>
        </w:tabs>
        <w:spacing w:after="0"/>
        <w:ind w:left="720"/>
        <w:rPr>
          <w:rFonts w:eastAsia="Calibri" w:cs="Times New Roman"/>
          <w:spacing w:val="0"/>
        </w:rPr>
      </w:pPr>
      <w:r w:rsidRPr="00971368">
        <w:rPr>
          <w:rFonts w:eastAsia="Calibri" w:cs="Times New Roman"/>
          <w:spacing w:val="0"/>
        </w:rPr>
        <w:t xml:space="preserve">The individual’s most recent Tier 3, Tier 3R, Tier 5, or Tier 5R investigation associated with the favorable national security determination closed with a case seriousness code (formerly known as the OPM Assessment code) of G or Z; </w:t>
      </w:r>
    </w:p>
    <w:p w14:paraId="5798AB38" w14:textId="77777777" w:rsidR="006D6FD7" w:rsidRPr="00971368" w:rsidRDefault="006D6FD7" w:rsidP="00A06D8B">
      <w:pPr>
        <w:numPr>
          <w:ilvl w:val="2"/>
          <w:numId w:val="18"/>
        </w:numPr>
        <w:tabs>
          <w:tab w:val="clear" w:pos="360"/>
        </w:tabs>
        <w:spacing w:after="0"/>
        <w:ind w:left="720"/>
        <w:rPr>
          <w:rFonts w:eastAsia="Calibri" w:cs="Times New Roman"/>
          <w:spacing w:val="0"/>
        </w:rPr>
      </w:pPr>
      <w:r w:rsidRPr="00971368">
        <w:rPr>
          <w:rFonts w:eastAsia="Calibri" w:cs="Times New Roman"/>
          <w:spacing w:val="0"/>
        </w:rPr>
        <w:t>The individual has a favorable national security determination;</w:t>
      </w:r>
    </w:p>
    <w:p w14:paraId="16ED5B2A" w14:textId="77777777" w:rsidR="006D6FD7" w:rsidRPr="00971368" w:rsidRDefault="006D6FD7" w:rsidP="00A06D8B">
      <w:pPr>
        <w:numPr>
          <w:ilvl w:val="2"/>
          <w:numId w:val="18"/>
        </w:numPr>
        <w:tabs>
          <w:tab w:val="clear" w:pos="360"/>
        </w:tabs>
        <w:spacing w:after="0"/>
        <w:ind w:left="720"/>
        <w:rPr>
          <w:rFonts w:eastAsia="Calibri" w:cs="Times New Roman"/>
          <w:spacing w:val="0"/>
        </w:rPr>
      </w:pPr>
      <w:r w:rsidRPr="00971368">
        <w:rPr>
          <w:rFonts w:eastAsia="Calibri" w:cs="Times New Roman"/>
          <w:spacing w:val="0"/>
        </w:rPr>
        <w:t>No exceptions were added to the individual’s adjudicative history after the prior investigation and determination; and,</w:t>
      </w:r>
    </w:p>
    <w:p w14:paraId="2ACF093D" w14:textId="77777777" w:rsidR="006D6FD7" w:rsidRPr="00971368" w:rsidRDefault="006D6FD7" w:rsidP="00A06D8B">
      <w:pPr>
        <w:numPr>
          <w:ilvl w:val="2"/>
          <w:numId w:val="18"/>
        </w:numPr>
        <w:tabs>
          <w:tab w:val="clear" w:pos="360"/>
        </w:tabs>
        <w:ind w:left="720"/>
        <w:rPr>
          <w:rFonts w:eastAsia="Calibri" w:cs="Times New Roman"/>
          <w:spacing w:val="0"/>
        </w:rPr>
      </w:pPr>
      <w:r w:rsidRPr="00971368">
        <w:rPr>
          <w:rFonts w:eastAsia="Calibri" w:cs="Times New Roman"/>
          <w:spacing w:val="0"/>
        </w:rPr>
        <w:t>There is no information that would require a core duty determination, such as a subsequent unadjudicated open CV alert.</w:t>
      </w:r>
    </w:p>
    <w:p w14:paraId="624D500B" w14:textId="5F7790EF" w:rsidR="006D6FD7" w:rsidRPr="00135FAB" w:rsidRDefault="006D6FD7" w:rsidP="00AA1C2B">
      <w:pPr>
        <w:rPr>
          <w:rFonts w:eastAsia="Times New Roman" w:cs="Times New Roman"/>
          <w:spacing w:val="0"/>
        </w:rPr>
      </w:pPr>
      <w:r w:rsidRPr="00135FAB">
        <w:rPr>
          <w:rFonts w:eastAsia="Times New Roman" w:cs="Times New Roman"/>
          <w:spacing w:val="0"/>
        </w:rPr>
        <w:t xml:space="preserve">Otherwise, they will review the prior investigation for the purpose of making a suitability or fitness determination. </w:t>
      </w:r>
    </w:p>
    <w:p w14:paraId="09B2AF0C" w14:textId="77777777" w:rsidR="006D6FD7" w:rsidRPr="00135FAB" w:rsidRDefault="006D6FD7" w:rsidP="00A70FFA">
      <w:pPr>
        <w:spacing w:after="60"/>
        <w:rPr>
          <w:rFonts w:eastAsia="Times New Roman" w:cs="Times New Roman"/>
          <w:spacing w:val="0"/>
        </w:rPr>
      </w:pPr>
      <w:r w:rsidRPr="00135FAB">
        <w:rPr>
          <w:rFonts w:eastAsia="Times New Roman" w:cs="Times New Roman"/>
          <w:spacing w:val="0"/>
        </w:rPr>
        <w:t>If the repository reflects a prior favorable suitability or fitness determination with no exceptions, the agency must reciprocally accept the determination unless any of the following apply:</w:t>
      </w:r>
    </w:p>
    <w:p w14:paraId="4FF84604" w14:textId="41011D15" w:rsidR="006D6FD7" w:rsidRPr="00135FAB" w:rsidRDefault="006D6FD7" w:rsidP="00A06D8B">
      <w:pPr>
        <w:numPr>
          <w:ilvl w:val="0"/>
          <w:numId w:val="19"/>
        </w:numPr>
        <w:spacing w:after="0"/>
        <w:rPr>
          <w:rFonts w:eastAsia="Times New Roman" w:cs="Times New Roman"/>
          <w:spacing w:val="0"/>
        </w:rPr>
      </w:pPr>
      <w:r w:rsidRPr="00135FAB">
        <w:rPr>
          <w:rFonts w:eastAsia="Times New Roman" w:cs="Times New Roman"/>
          <w:spacing w:val="0"/>
        </w:rPr>
        <w:t>The record reflects evidence of conduct that may cause a core duty concern. For this to be true, the record must show evidence of conduct th</w:t>
      </w:r>
      <w:r w:rsidR="00135FAB">
        <w:rPr>
          <w:rFonts w:eastAsia="Times New Roman" w:cs="Times New Roman"/>
          <w:spacing w:val="0"/>
        </w:rPr>
        <w:t xml:space="preserve">at </w:t>
      </w:r>
      <w:r w:rsidRPr="00135FAB">
        <w:rPr>
          <w:rFonts w:eastAsia="Times New Roman" w:cs="Times New Roman"/>
          <w:spacing w:val="0"/>
        </w:rPr>
        <w:t xml:space="preserve">is incompatible with the new duties of the relevant position or mission of the agency. For example, evidence of driving violations could cause a core duty concern for a new position if that position will require the individual to drive government vehicles to carry out duties. Or, if the new position is in law enforcement, evidence of prior criminal conduct, even if </w:t>
      </w:r>
    </w:p>
    <w:p w14:paraId="38085AF2" w14:textId="39C7748B" w:rsidR="006D6FD7" w:rsidRPr="00135FAB" w:rsidRDefault="006C29EB" w:rsidP="006C29EB">
      <w:pPr>
        <w:spacing w:after="0"/>
        <w:ind w:left="720"/>
        <w:rPr>
          <w:rFonts w:eastAsia="Times New Roman" w:cs="Times New Roman"/>
          <w:spacing w:val="0"/>
        </w:rPr>
      </w:pPr>
      <w:r>
        <w:rPr>
          <w:rFonts w:eastAsia="Times New Roman" w:cs="Times New Roman"/>
          <w:spacing w:val="0"/>
        </w:rPr>
        <w:t>m</w:t>
      </w:r>
      <w:r w:rsidR="006D6FD7" w:rsidRPr="00135FAB">
        <w:rPr>
          <w:rFonts w:eastAsia="Times New Roman" w:cs="Times New Roman"/>
          <w:spacing w:val="0"/>
        </w:rPr>
        <w:t xml:space="preserve">inor, while not an issue for the current position, may warrant a new review for a position with law enforcement responsibilities. </w:t>
      </w:r>
    </w:p>
    <w:p w14:paraId="17C201C8" w14:textId="6C81FCC9" w:rsidR="00EB3943" w:rsidRDefault="006D6FD7" w:rsidP="00A06D8B">
      <w:pPr>
        <w:numPr>
          <w:ilvl w:val="0"/>
          <w:numId w:val="19"/>
        </w:numPr>
        <w:rPr>
          <w:rFonts w:eastAsia="Times New Roman" w:cs="Times New Roman"/>
          <w:spacing w:val="0"/>
        </w:rPr>
      </w:pPr>
      <w:r w:rsidRPr="00135FAB">
        <w:rPr>
          <w:rFonts w:eastAsia="Times New Roman" w:cs="Times New Roman"/>
          <w:spacing w:val="0"/>
        </w:rPr>
        <w:t>If the new position is in the excepted service, nonappropriated fund, or a contractor position, thus requiring a fitness determination, and the agency has prescribed additional factors as permitted under 5 C</w:t>
      </w:r>
      <w:r w:rsidR="00B66CF9">
        <w:rPr>
          <w:rFonts w:eastAsia="Times New Roman" w:cs="Times New Roman"/>
          <w:spacing w:val="0"/>
        </w:rPr>
        <w:t>.</w:t>
      </w:r>
      <w:r w:rsidRPr="00135FAB">
        <w:rPr>
          <w:rFonts w:eastAsia="Times New Roman" w:cs="Times New Roman"/>
          <w:spacing w:val="0"/>
        </w:rPr>
        <w:t>F</w:t>
      </w:r>
      <w:r w:rsidR="00B66CF9">
        <w:rPr>
          <w:rFonts w:eastAsia="Times New Roman" w:cs="Times New Roman"/>
          <w:spacing w:val="0"/>
        </w:rPr>
        <w:t>.</w:t>
      </w:r>
      <w:r w:rsidRPr="00135FAB">
        <w:rPr>
          <w:rFonts w:eastAsia="Times New Roman" w:cs="Times New Roman"/>
          <w:spacing w:val="0"/>
        </w:rPr>
        <w:t>R</w:t>
      </w:r>
      <w:r w:rsidR="00B66CF9">
        <w:rPr>
          <w:rFonts w:eastAsia="Times New Roman" w:cs="Times New Roman"/>
          <w:spacing w:val="0"/>
        </w:rPr>
        <w:t>.</w:t>
      </w:r>
      <w:r w:rsidRPr="00135FAB">
        <w:rPr>
          <w:rFonts w:eastAsia="Times New Roman" w:cs="Times New Roman"/>
          <w:spacing w:val="0"/>
        </w:rPr>
        <w:t xml:space="preserve"> </w:t>
      </w:r>
      <w:r w:rsidR="0AD2D390" w:rsidRPr="2073F340">
        <w:rPr>
          <w:rFonts w:eastAsia="Times New Roman" w:cs="Times New Roman"/>
          <w:color w:val="000000" w:themeColor="text1"/>
        </w:rPr>
        <w:t xml:space="preserve">§ </w:t>
      </w:r>
      <w:r w:rsidRPr="00135FAB">
        <w:rPr>
          <w:rFonts w:eastAsia="Times New Roman" w:cs="Times New Roman"/>
          <w:spacing w:val="0"/>
        </w:rPr>
        <w:t xml:space="preserve">731.202(b) that were not addressed in the prior favorable adjudication, the agency may review the record and make a new fitness determination using only the additional factors. </w:t>
      </w:r>
      <w:bookmarkStart w:id="21" w:name="_Hlk185402639"/>
      <w:bookmarkStart w:id="22" w:name="_Toc187052934"/>
    </w:p>
    <w:p w14:paraId="325959C4" w14:textId="2EB7594B" w:rsidR="00EB3943" w:rsidRPr="004D4C57" w:rsidRDefault="00EB3943" w:rsidP="00EB3943">
      <w:pPr>
        <w:pStyle w:val="Heading2"/>
        <w:spacing w:before="0" w:after="240" w:line="240" w:lineRule="auto"/>
      </w:pPr>
      <w:bookmarkStart w:id="23" w:name="_Toc187924132"/>
      <w:r>
        <w:t>1.4 – Individual Engagement</w:t>
      </w:r>
      <w:bookmarkEnd w:id="23"/>
    </w:p>
    <w:bookmarkEnd w:id="21"/>
    <w:bookmarkEnd w:id="22"/>
    <w:p w14:paraId="5B10F23F" w14:textId="5FA6FCA2" w:rsidR="006649B2" w:rsidRPr="00135FAB" w:rsidRDefault="006649B2" w:rsidP="00135FAB">
      <w:pPr>
        <w:spacing w:after="60"/>
        <w:textAlignment w:val="baseline"/>
        <w:rPr>
          <w:rFonts w:eastAsia="Times New Roman" w:cs="Times New Roman"/>
          <w:spacing w:val="0"/>
        </w:rPr>
      </w:pPr>
      <w:r w:rsidRPr="00135FAB">
        <w:rPr>
          <w:rFonts w:eastAsia="Times New Roman" w:cs="Times New Roman"/>
          <w:spacing w:val="0"/>
        </w:rPr>
        <w:t xml:space="preserve">It is important that individuals are notified of certain events during the vetting process. It is best practice to notify </w:t>
      </w:r>
      <w:r w:rsidR="00B57F94" w:rsidRPr="00135FAB">
        <w:rPr>
          <w:rFonts w:eastAsia="Times New Roman" w:cs="Times New Roman"/>
          <w:spacing w:val="0"/>
        </w:rPr>
        <w:t>individuals</w:t>
      </w:r>
      <w:r w:rsidRPr="00135FAB">
        <w:rPr>
          <w:rFonts w:eastAsia="Times New Roman" w:cs="Times New Roman"/>
          <w:spacing w:val="0"/>
        </w:rPr>
        <w:t xml:space="preserve"> when: </w:t>
      </w:r>
    </w:p>
    <w:p w14:paraId="342A431D" w14:textId="77777777" w:rsidR="006649B2" w:rsidRPr="00135FAB" w:rsidRDefault="006649B2" w:rsidP="00A06D8B">
      <w:pPr>
        <w:numPr>
          <w:ilvl w:val="0"/>
          <w:numId w:val="15"/>
        </w:numPr>
        <w:tabs>
          <w:tab w:val="clear" w:pos="720"/>
        </w:tabs>
        <w:spacing w:after="0"/>
        <w:textAlignment w:val="baseline"/>
        <w:rPr>
          <w:rFonts w:eastAsia="Times New Roman" w:cs="Times New Roman"/>
          <w:spacing w:val="0"/>
        </w:rPr>
      </w:pPr>
      <w:r w:rsidRPr="00135FAB">
        <w:rPr>
          <w:rFonts w:eastAsia="Times New Roman" w:cs="Times New Roman"/>
          <w:spacing w:val="0"/>
        </w:rPr>
        <w:t>A favorable suitability or fitness determination is made. </w:t>
      </w:r>
    </w:p>
    <w:p w14:paraId="545D7C69" w14:textId="4FBCBD77" w:rsidR="006649B2" w:rsidRPr="00135FAB" w:rsidRDefault="006649B2" w:rsidP="00A06D8B">
      <w:pPr>
        <w:numPr>
          <w:ilvl w:val="0"/>
          <w:numId w:val="16"/>
        </w:numPr>
        <w:tabs>
          <w:tab w:val="clear" w:pos="720"/>
        </w:tabs>
        <w:spacing w:after="0"/>
        <w:textAlignment w:val="baseline"/>
        <w:rPr>
          <w:rFonts w:eastAsia="Times New Roman" w:cs="Times New Roman"/>
          <w:spacing w:val="0"/>
        </w:rPr>
      </w:pPr>
      <w:r w:rsidRPr="00135FAB">
        <w:rPr>
          <w:rFonts w:eastAsia="Times New Roman" w:cs="Times New Roman"/>
          <w:spacing w:val="0"/>
        </w:rPr>
        <w:t>An unfavorable suitability de</w:t>
      </w:r>
      <w:r w:rsidR="00B57F94" w:rsidRPr="00135FAB">
        <w:rPr>
          <w:rFonts w:eastAsia="Times New Roman" w:cs="Times New Roman"/>
          <w:spacing w:val="0"/>
        </w:rPr>
        <w:t xml:space="preserve">termination or unfavorable </w:t>
      </w:r>
      <w:r w:rsidRPr="00135FAB">
        <w:rPr>
          <w:rFonts w:eastAsia="Times New Roman" w:cs="Times New Roman"/>
          <w:spacing w:val="0"/>
        </w:rPr>
        <w:t>fitness de</w:t>
      </w:r>
      <w:r w:rsidR="00B57F94" w:rsidRPr="00135FAB">
        <w:rPr>
          <w:rFonts w:eastAsia="Times New Roman" w:cs="Times New Roman"/>
          <w:spacing w:val="0"/>
        </w:rPr>
        <w:t>termination</w:t>
      </w:r>
      <w:r w:rsidRPr="00135FAB">
        <w:rPr>
          <w:rFonts w:eastAsia="Times New Roman" w:cs="Times New Roman"/>
          <w:spacing w:val="0"/>
        </w:rPr>
        <w:t xml:space="preserve"> is made. </w:t>
      </w:r>
    </w:p>
    <w:p w14:paraId="217AAFEC" w14:textId="038B339B" w:rsidR="006649B2" w:rsidRPr="00135FAB" w:rsidRDefault="006649B2" w:rsidP="00A06D8B">
      <w:pPr>
        <w:numPr>
          <w:ilvl w:val="0"/>
          <w:numId w:val="17"/>
        </w:numPr>
        <w:tabs>
          <w:tab w:val="clear" w:pos="720"/>
        </w:tabs>
        <w:textAlignment w:val="baseline"/>
        <w:rPr>
          <w:rFonts w:eastAsia="Times New Roman" w:cs="Times New Roman"/>
          <w:spacing w:val="0"/>
        </w:rPr>
      </w:pPr>
      <w:r w:rsidRPr="00135FAB">
        <w:rPr>
          <w:rFonts w:eastAsia="Times New Roman" w:cs="Times New Roman"/>
          <w:spacing w:val="0"/>
        </w:rPr>
        <w:t>The individual’s case is referred to OPM for government</w:t>
      </w:r>
      <w:r w:rsidR="00BB21FA">
        <w:rPr>
          <w:rFonts w:eastAsia="Times New Roman" w:cs="Times New Roman"/>
          <w:spacing w:val="0"/>
        </w:rPr>
        <w:t>-</w:t>
      </w:r>
      <w:r w:rsidRPr="00135FAB">
        <w:rPr>
          <w:rFonts w:eastAsia="Times New Roman" w:cs="Times New Roman"/>
          <w:spacing w:val="0"/>
        </w:rPr>
        <w:t>wide debarment consideration. </w:t>
      </w:r>
    </w:p>
    <w:p w14:paraId="33C9D5C2" w14:textId="3E576A6A" w:rsidR="00347867" w:rsidRDefault="00B57F94" w:rsidP="00195489">
      <w:pPr>
        <w:spacing w:after="0"/>
        <w:textAlignment w:val="baseline"/>
        <w:rPr>
          <w:rFonts w:eastAsia="Times New Roman" w:cs="Times New Roman"/>
          <w:spacing w:val="0"/>
        </w:rPr>
      </w:pPr>
      <w:r w:rsidRPr="00135FAB">
        <w:rPr>
          <w:rFonts w:eastAsia="Times New Roman" w:cs="Times New Roman"/>
          <w:spacing w:val="0"/>
        </w:rPr>
        <w:t xml:space="preserve">Note, if taking a suitability action, the agency will need to provide written notifications to the individual in accordance with the procedures specified in </w:t>
      </w:r>
      <w:r w:rsidR="003C26BF">
        <w:rPr>
          <w:rFonts w:eastAsia="Times New Roman" w:cs="Times New Roman"/>
          <w:spacing w:val="0"/>
        </w:rPr>
        <w:t>5 C.F.R. p</w:t>
      </w:r>
      <w:r w:rsidRPr="00135FAB">
        <w:rPr>
          <w:rFonts w:eastAsia="Times New Roman" w:cs="Times New Roman"/>
          <w:spacing w:val="0"/>
        </w:rPr>
        <w:t xml:space="preserve">art 731 and this Manual. </w:t>
      </w:r>
      <w:r w:rsidRPr="00135FAB">
        <w:rPr>
          <w:rFonts w:eastAsia="Times New Roman" w:cs="Times New Roman"/>
          <w:spacing w:val="0"/>
        </w:rPr>
        <w:lastRenderedPageBreak/>
        <w:t xml:space="preserve">Likewise, for excepted service positions, </w:t>
      </w:r>
      <w:r w:rsidR="006649B2" w:rsidRPr="00135FAB">
        <w:rPr>
          <w:rFonts w:eastAsia="Times New Roman" w:cs="Times New Roman"/>
          <w:spacing w:val="0"/>
        </w:rPr>
        <w:t>5 C</w:t>
      </w:r>
      <w:r w:rsidR="00B66CF9">
        <w:rPr>
          <w:rFonts w:eastAsia="Times New Roman" w:cs="Times New Roman"/>
          <w:spacing w:val="0"/>
        </w:rPr>
        <w:t>.</w:t>
      </w:r>
      <w:r w:rsidR="006649B2" w:rsidRPr="00135FAB">
        <w:rPr>
          <w:rFonts w:eastAsia="Times New Roman" w:cs="Times New Roman"/>
          <w:spacing w:val="0"/>
        </w:rPr>
        <w:t>F</w:t>
      </w:r>
      <w:r w:rsidR="00B66CF9">
        <w:rPr>
          <w:rFonts w:eastAsia="Times New Roman" w:cs="Times New Roman"/>
          <w:spacing w:val="0"/>
        </w:rPr>
        <w:t>.</w:t>
      </w:r>
      <w:r w:rsidR="006649B2" w:rsidRPr="00135FAB">
        <w:rPr>
          <w:rFonts w:eastAsia="Times New Roman" w:cs="Times New Roman"/>
          <w:spacing w:val="0"/>
        </w:rPr>
        <w:t>R</w:t>
      </w:r>
      <w:r w:rsidR="00B66CF9">
        <w:rPr>
          <w:rFonts w:eastAsia="Times New Roman" w:cs="Times New Roman"/>
          <w:spacing w:val="0"/>
        </w:rPr>
        <w:t>.</w:t>
      </w:r>
      <w:r w:rsidR="006649B2" w:rsidRPr="00135FAB">
        <w:rPr>
          <w:rFonts w:eastAsia="Times New Roman" w:cs="Times New Roman"/>
          <w:spacing w:val="0"/>
        </w:rPr>
        <w:t xml:space="preserve"> </w:t>
      </w:r>
      <w:r w:rsidR="006649B2" w:rsidRPr="00135FAB">
        <w:rPr>
          <w:rFonts w:eastAsia="Times New Roman" w:cs="Times New Roman"/>
          <w:color w:val="000000"/>
          <w:spacing w:val="0"/>
        </w:rPr>
        <w:t>§</w:t>
      </w:r>
      <w:r w:rsidR="006649B2" w:rsidRPr="00135FAB">
        <w:rPr>
          <w:rFonts w:eastAsia="Times New Roman" w:cs="Times New Roman"/>
          <w:spacing w:val="0"/>
        </w:rPr>
        <w:t xml:space="preserve"> 302.108(b) requires that an agency</w:t>
      </w:r>
      <w:r w:rsidRPr="00135FAB">
        <w:rPr>
          <w:rFonts w:eastAsia="Times New Roman" w:cs="Times New Roman"/>
          <w:spacing w:val="0"/>
        </w:rPr>
        <w:t>, when making an unfavorable fitness determination, must make known to the individual, any additional factors, as established by the agency in accordance with 5 C</w:t>
      </w:r>
      <w:r w:rsidR="00B66CF9">
        <w:rPr>
          <w:rFonts w:eastAsia="Times New Roman" w:cs="Times New Roman"/>
          <w:spacing w:val="0"/>
        </w:rPr>
        <w:t>.</w:t>
      </w:r>
      <w:r w:rsidRPr="00135FAB">
        <w:rPr>
          <w:rFonts w:eastAsia="Times New Roman" w:cs="Times New Roman"/>
          <w:spacing w:val="0"/>
        </w:rPr>
        <w:t>F</w:t>
      </w:r>
      <w:r w:rsidR="00B66CF9">
        <w:rPr>
          <w:rFonts w:eastAsia="Times New Roman" w:cs="Times New Roman"/>
          <w:spacing w:val="0"/>
        </w:rPr>
        <w:t>.</w:t>
      </w:r>
      <w:r w:rsidRPr="00135FAB">
        <w:rPr>
          <w:rFonts w:eastAsia="Times New Roman" w:cs="Times New Roman"/>
          <w:spacing w:val="0"/>
        </w:rPr>
        <w:t>R</w:t>
      </w:r>
      <w:r w:rsidR="00B66CF9">
        <w:rPr>
          <w:rFonts w:eastAsia="Times New Roman" w:cs="Times New Roman"/>
          <w:spacing w:val="0"/>
        </w:rPr>
        <w:t>.</w:t>
      </w:r>
      <w:r w:rsidRPr="00135FAB">
        <w:rPr>
          <w:rFonts w:eastAsia="Times New Roman" w:cs="Times New Roman"/>
          <w:spacing w:val="0"/>
        </w:rPr>
        <w:t xml:space="preserve"> </w:t>
      </w:r>
      <w:r w:rsidRPr="00135FAB">
        <w:rPr>
          <w:rFonts w:eastAsia="Times New Roman" w:cs="Times New Roman"/>
          <w:color w:val="000000"/>
          <w:spacing w:val="0"/>
        </w:rPr>
        <w:t>§</w:t>
      </w:r>
      <w:r w:rsidRPr="00135FAB">
        <w:rPr>
          <w:rFonts w:eastAsia="Times New Roman" w:cs="Times New Roman"/>
          <w:spacing w:val="0"/>
        </w:rPr>
        <w:t xml:space="preserve"> 731.202, upon request.</w:t>
      </w:r>
      <w:r w:rsidR="006649B2" w:rsidRPr="00135FAB">
        <w:rPr>
          <w:rFonts w:eastAsia="Times New Roman" w:cs="Times New Roman"/>
          <w:spacing w:val="0"/>
        </w:rPr>
        <w:t> </w:t>
      </w:r>
    </w:p>
    <w:p w14:paraId="4156A10F" w14:textId="77777777" w:rsidR="007E2F7E" w:rsidRDefault="007E2F7E">
      <w:pPr>
        <w:spacing w:after="160" w:line="259" w:lineRule="auto"/>
        <w:rPr>
          <w:rFonts w:ascii="Source Sans Pro" w:eastAsia="Times New Roman" w:hAnsi="Source Sans Pro" w:cs="Times New Roman"/>
          <w:b/>
          <w:color w:val="009ED1"/>
          <w:spacing w:val="0"/>
          <w:sz w:val="40"/>
          <w:szCs w:val="32"/>
        </w:rPr>
      </w:pPr>
      <w:r>
        <w:rPr>
          <w:rFonts w:eastAsia="Times New Roman" w:cs="Times New Roman"/>
          <w:spacing w:val="0"/>
        </w:rPr>
        <w:br w:type="page"/>
      </w:r>
    </w:p>
    <w:p w14:paraId="55CD1325" w14:textId="2ADED323" w:rsidR="00250B3A" w:rsidRPr="00195489" w:rsidRDefault="00250B3A" w:rsidP="00347867">
      <w:pPr>
        <w:pStyle w:val="H1"/>
        <w:rPr>
          <w:rFonts w:eastAsia="Times New Roman" w:cs="Times New Roman"/>
          <w:spacing w:val="0"/>
        </w:rPr>
      </w:pPr>
      <w:bookmarkStart w:id="24" w:name="_Toc187052935"/>
      <w:bookmarkStart w:id="25" w:name="_Toc187924133"/>
      <w:r w:rsidRPr="17DF539B">
        <w:lastRenderedPageBreak/>
        <w:t>Volume 2:</w:t>
      </w:r>
      <w:r w:rsidRPr="17DF539B">
        <w:rPr>
          <w:spacing w:val="-15"/>
        </w:rPr>
        <w:t xml:space="preserve"> </w:t>
      </w:r>
      <w:r w:rsidRPr="00727F07">
        <w:rPr>
          <w:spacing w:val="-1"/>
        </w:rPr>
        <w:t xml:space="preserve"> </w:t>
      </w:r>
      <w:r w:rsidRPr="00727F07">
        <w:t>Preliminary Determinations, Trust Determinations, and Exceptions</w:t>
      </w:r>
      <w:bookmarkEnd w:id="24"/>
      <w:bookmarkEnd w:id="25"/>
      <w:r w:rsidRPr="00727F07">
        <w:t xml:space="preserve"> </w:t>
      </w:r>
    </w:p>
    <w:p w14:paraId="0535C2D2" w14:textId="77777777" w:rsidR="00250B3A" w:rsidRPr="00C015D2" w:rsidRDefault="00250B3A" w:rsidP="008C3F04">
      <w:pPr>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Sans Serif Collection"/>
          <w:spacing w:val="0"/>
          <w:sz w:val="30"/>
          <w:szCs w:val="30"/>
        </w:rPr>
      </w:pPr>
    </w:p>
    <w:p w14:paraId="7A7FB067" w14:textId="77777777" w:rsidR="00250B3A" w:rsidRPr="00623A85" w:rsidRDefault="00250B3A" w:rsidP="00EE1FF1">
      <w:pPr>
        <w:widowControl w:val="0"/>
        <w:spacing w:after="0" w:line="240" w:lineRule="auto"/>
        <w:rPr>
          <w:rFonts w:ascii="Source Sans Pro" w:eastAsia="Arial Narrow" w:hAnsi="Source Sans Pro" w:cs="Arial Narrow"/>
          <w:b/>
          <w:spacing w:val="0"/>
          <w:sz w:val="30"/>
          <w:szCs w:val="30"/>
        </w:rPr>
      </w:pPr>
      <w:r w:rsidRPr="00623A85">
        <w:rPr>
          <w:rFonts w:ascii="Source Sans Pro" w:eastAsia="Arial Narrow" w:hAnsi="Source Sans Pro" w:cs="Arial Narrow"/>
          <w:b/>
          <w:spacing w:val="0"/>
          <w:sz w:val="30"/>
          <w:szCs w:val="30"/>
        </w:rPr>
        <w:t>Change Record</w:t>
      </w:r>
    </w:p>
    <w:p w14:paraId="0F9F4F84" w14:textId="77777777" w:rsidR="00250B3A" w:rsidRPr="00C015D2" w:rsidRDefault="00250B3A" w:rsidP="00250B3A">
      <w:pPr>
        <w:widowControl w:val="0"/>
        <w:spacing w:before="5" w:after="0" w:line="240" w:lineRule="auto"/>
        <w:rPr>
          <w:rFonts w:eastAsia="Arial Narrow" w:cs="Arial Narrow"/>
          <w:spacing w:val="0"/>
          <w:sz w:val="30"/>
          <w:szCs w:val="30"/>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1717"/>
        <w:gridCol w:w="5947"/>
      </w:tblGrid>
      <w:tr w:rsidR="00250B3A" w:rsidRPr="00727F07" w14:paraId="1B3B37EB" w14:textId="77777777" w:rsidTr="005550DE">
        <w:tc>
          <w:tcPr>
            <w:tcW w:w="1781" w:type="dxa"/>
            <w:shd w:val="clear" w:color="auto" w:fill="auto"/>
          </w:tcPr>
          <w:p w14:paraId="6DBA243C" w14:textId="77777777" w:rsidR="00250B3A" w:rsidRPr="00727F07" w:rsidRDefault="00250B3A">
            <w:pPr>
              <w:widowControl w:val="0"/>
              <w:spacing w:before="5" w:after="0" w:line="240" w:lineRule="auto"/>
              <w:rPr>
                <w:rFonts w:ascii="Source Sans Pro" w:eastAsia="Arial Narrow" w:hAnsi="Source Sans Pro" w:cs="Arial Narrow"/>
                <w:b/>
                <w:bCs/>
                <w:spacing w:val="0"/>
                <w:sz w:val="30"/>
                <w:szCs w:val="30"/>
              </w:rPr>
            </w:pPr>
            <w:r w:rsidRPr="00727F07">
              <w:rPr>
                <w:rFonts w:ascii="Source Sans Pro" w:eastAsia="Arial Narrow" w:hAnsi="Source Sans Pro" w:cs="Arial Narrow"/>
                <w:b/>
                <w:bCs/>
                <w:spacing w:val="0"/>
                <w:sz w:val="30"/>
                <w:szCs w:val="30"/>
              </w:rPr>
              <w:t>Date</w:t>
            </w:r>
          </w:p>
        </w:tc>
        <w:tc>
          <w:tcPr>
            <w:tcW w:w="1717" w:type="dxa"/>
            <w:shd w:val="clear" w:color="auto" w:fill="auto"/>
          </w:tcPr>
          <w:p w14:paraId="190D1539" w14:textId="295E0C78" w:rsidR="00250B3A" w:rsidRPr="00727F07" w:rsidRDefault="00250B3A">
            <w:pPr>
              <w:widowControl w:val="0"/>
              <w:spacing w:before="5" w:after="0" w:line="240" w:lineRule="auto"/>
              <w:rPr>
                <w:rFonts w:ascii="Source Sans Pro" w:eastAsia="Arial Narrow" w:hAnsi="Source Sans Pro" w:cs="Arial Narrow"/>
                <w:b/>
                <w:bCs/>
                <w:spacing w:val="0"/>
                <w:sz w:val="30"/>
                <w:szCs w:val="30"/>
              </w:rPr>
            </w:pPr>
            <w:r w:rsidRPr="00727F07">
              <w:rPr>
                <w:rFonts w:ascii="Source Sans Pro" w:eastAsia="Arial Narrow" w:hAnsi="Source Sans Pro" w:cs="Arial Narrow"/>
                <w:b/>
                <w:bCs/>
                <w:spacing w:val="0"/>
                <w:sz w:val="30"/>
                <w:szCs w:val="30"/>
              </w:rPr>
              <w:t>Page</w:t>
            </w:r>
            <w:r w:rsidR="006B4879">
              <w:rPr>
                <w:rFonts w:ascii="Source Sans Pro" w:eastAsia="Arial Narrow" w:hAnsi="Source Sans Pro" w:cs="Arial Narrow"/>
                <w:b/>
                <w:bCs/>
                <w:spacing w:val="0"/>
                <w:sz w:val="30"/>
                <w:szCs w:val="30"/>
              </w:rPr>
              <w:t>(s)</w:t>
            </w:r>
            <w:r w:rsidRPr="00727F07">
              <w:rPr>
                <w:rFonts w:ascii="Source Sans Pro" w:eastAsia="Arial Narrow" w:hAnsi="Source Sans Pro" w:cs="Arial Narrow"/>
                <w:b/>
                <w:bCs/>
                <w:spacing w:val="0"/>
                <w:sz w:val="30"/>
                <w:szCs w:val="30"/>
              </w:rPr>
              <w:t xml:space="preserve"> Affected</w:t>
            </w:r>
          </w:p>
        </w:tc>
        <w:tc>
          <w:tcPr>
            <w:tcW w:w="5947" w:type="dxa"/>
            <w:shd w:val="clear" w:color="auto" w:fill="auto"/>
          </w:tcPr>
          <w:p w14:paraId="25F3F643" w14:textId="58F47617" w:rsidR="00250B3A" w:rsidRPr="00727F07" w:rsidRDefault="00250B3A">
            <w:pPr>
              <w:widowControl w:val="0"/>
              <w:spacing w:before="5" w:after="0" w:line="240" w:lineRule="auto"/>
              <w:rPr>
                <w:rFonts w:ascii="Source Sans Pro" w:eastAsia="Arial Narrow" w:hAnsi="Source Sans Pro" w:cs="Arial Narrow"/>
                <w:b/>
                <w:bCs/>
                <w:spacing w:val="0"/>
                <w:sz w:val="30"/>
                <w:szCs w:val="30"/>
              </w:rPr>
            </w:pPr>
            <w:r w:rsidRPr="00727F07">
              <w:rPr>
                <w:rFonts w:ascii="Source Sans Pro" w:eastAsia="Arial Narrow" w:hAnsi="Source Sans Pro" w:cs="Arial Narrow"/>
                <w:b/>
                <w:bCs/>
                <w:spacing w:val="0"/>
                <w:sz w:val="30"/>
                <w:szCs w:val="30"/>
              </w:rPr>
              <w:t>Description of Revision</w:t>
            </w:r>
            <w:r w:rsidR="006B4879">
              <w:rPr>
                <w:rFonts w:ascii="Source Sans Pro" w:eastAsia="Arial Narrow" w:hAnsi="Source Sans Pro" w:cs="Arial Narrow"/>
                <w:b/>
                <w:bCs/>
                <w:spacing w:val="0"/>
                <w:sz w:val="30"/>
                <w:szCs w:val="30"/>
              </w:rPr>
              <w:t>(s)</w:t>
            </w:r>
          </w:p>
        </w:tc>
      </w:tr>
      <w:tr w:rsidR="00250B3A" w:rsidRPr="00727F07" w14:paraId="540296B3" w14:textId="77777777" w:rsidTr="005550DE">
        <w:tc>
          <w:tcPr>
            <w:tcW w:w="1781" w:type="dxa"/>
            <w:shd w:val="clear" w:color="auto" w:fill="auto"/>
          </w:tcPr>
          <w:p w14:paraId="49DCE21A" w14:textId="77777777" w:rsidR="00250B3A" w:rsidRPr="00C015D2" w:rsidRDefault="00250B3A">
            <w:pPr>
              <w:widowControl w:val="0"/>
              <w:spacing w:before="5" w:after="0" w:line="240" w:lineRule="auto"/>
              <w:rPr>
                <w:rFonts w:eastAsia="Arial Narrow" w:cs="Arial Narrow"/>
                <w:b/>
                <w:spacing w:val="0"/>
              </w:rPr>
            </w:pPr>
          </w:p>
        </w:tc>
        <w:tc>
          <w:tcPr>
            <w:tcW w:w="1717" w:type="dxa"/>
            <w:shd w:val="clear" w:color="auto" w:fill="auto"/>
          </w:tcPr>
          <w:p w14:paraId="39DACDF9" w14:textId="77777777" w:rsidR="00250B3A" w:rsidRPr="00C015D2" w:rsidRDefault="00250B3A">
            <w:pPr>
              <w:widowControl w:val="0"/>
              <w:spacing w:before="5" w:after="0" w:line="240" w:lineRule="auto"/>
              <w:rPr>
                <w:rFonts w:eastAsia="Arial Narrow" w:cs="Arial Narrow"/>
                <w:b/>
                <w:spacing w:val="0"/>
              </w:rPr>
            </w:pPr>
          </w:p>
        </w:tc>
        <w:tc>
          <w:tcPr>
            <w:tcW w:w="5947" w:type="dxa"/>
            <w:shd w:val="clear" w:color="auto" w:fill="auto"/>
          </w:tcPr>
          <w:p w14:paraId="1A1C8AB9" w14:textId="77777777" w:rsidR="00250B3A" w:rsidRPr="00C015D2" w:rsidRDefault="00250B3A">
            <w:pPr>
              <w:widowControl w:val="0"/>
              <w:spacing w:before="5" w:after="0" w:line="240" w:lineRule="auto"/>
              <w:rPr>
                <w:rFonts w:eastAsia="Arial Narrow" w:cs="Arial Narrow"/>
                <w:b/>
                <w:spacing w:val="0"/>
              </w:rPr>
            </w:pPr>
          </w:p>
        </w:tc>
      </w:tr>
      <w:tr w:rsidR="00250B3A" w:rsidRPr="00727F07" w14:paraId="186D500F" w14:textId="77777777" w:rsidTr="005550DE">
        <w:tc>
          <w:tcPr>
            <w:tcW w:w="1781" w:type="dxa"/>
            <w:shd w:val="clear" w:color="auto" w:fill="auto"/>
          </w:tcPr>
          <w:p w14:paraId="025C336A" w14:textId="77777777" w:rsidR="00250B3A" w:rsidRPr="00C015D2" w:rsidRDefault="00250B3A">
            <w:pPr>
              <w:widowControl w:val="0"/>
              <w:spacing w:before="5" w:after="0" w:line="240" w:lineRule="auto"/>
              <w:rPr>
                <w:rFonts w:eastAsia="Arial Narrow" w:cs="Arial Narrow"/>
                <w:b/>
                <w:spacing w:val="0"/>
              </w:rPr>
            </w:pPr>
          </w:p>
        </w:tc>
        <w:tc>
          <w:tcPr>
            <w:tcW w:w="1717" w:type="dxa"/>
            <w:shd w:val="clear" w:color="auto" w:fill="auto"/>
          </w:tcPr>
          <w:p w14:paraId="262D0994" w14:textId="77777777" w:rsidR="00250B3A" w:rsidRPr="00C015D2" w:rsidRDefault="00250B3A">
            <w:pPr>
              <w:widowControl w:val="0"/>
              <w:spacing w:before="5" w:after="0" w:line="240" w:lineRule="auto"/>
              <w:rPr>
                <w:rFonts w:eastAsia="Arial Narrow" w:cs="Arial Narrow"/>
                <w:b/>
                <w:spacing w:val="0"/>
              </w:rPr>
            </w:pPr>
          </w:p>
        </w:tc>
        <w:tc>
          <w:tcPr>
            <w:tcW w:w="5947" w:type="dxa"/>
            <w:shd w:val="clear" w:color="auto" w:fill="auto"/>
          </w:tcPr>
          <w:p w14:paraId="28D542B8" w14:textId="77777777" w:rsidR="00250B3A" w:rsidRPr="00C015D2" w:rsidRDefault="00250B3A">
            <w:pPr>
              <w:widowControl w:val="0"/>
              <w:spacing w:before="5" w:after="0" w:line="240" w:lineRule="auto"/>
              <w:rPr>
                <w:rFonts w:eastAsia="Arial Narrow" w:cs="Arial Narrow"/>
                <w:b/>
                <w:spacing w:val="0"/>
              </w:rPr>
            </w:pPr>
          </w:p>
        </w:tc>
      </w:tr>
      <w:tr w:rsidR="00250B3A" w:rsidRPr="00727F07" w14:paraId="59977B22" w14:textId="77777777" w:rsidTr="005550DE">
        <w:tc>
          <w:tcPr>
            <w:tcW w:w="1781" w:type="dxa"/>
            <w:shd w:val="clear" w:color="auto" w:fill="auto"/>
          </w:tcPr>
          <w:p w14:paraId="34A5004E" w14:textId="77777777" w:rsidR="00250B3A" w:rsidRPr="00C015D2" w:rsidRDefault="00250B3A">
            <w:pPr>
              <w:widowControl w:val="0"/>
              <w:spacing w:before="5" w:after="0" w:line="240" w:lineRule="auto"/>
              <w:rPr>
                <w:rFonts w:eastAsia="Arial Narrow" w:cs="Arial Narrow"/>
                <w:b/>
                <w:spacing w:val="0"/>
              </w:rPr>
            </w:pPr>
          </w:p>
        </w:tc>
        <w:tc>
          <w:tcPr>
            <w:tcW w:w="1717" w:type="dxa"/>
            <w:shd w:val="clear" w:color="auto" w:fill="auto"/>
          </w:tcPr>
          <w:p w14:paraId="3909744C" w14:textId="77777777" w:rsidR="00250B3A" w:rsidRPr="00C015D2" w:rsidRDefault="00250B3A">
            <w:pPr>
              <w:widowControl w:val="0"/>
              <w:spacing w:before="5" w:after="0" w:line="240" w:lineRule="auto"/>
              <w:rPr>
                <w:rFonts w:eastAsia="Arial Narrow" w:cs="Arial Narrow"/>
                <w:b/>
                <w:spacing w:val="0"/>
              </w:rPr>
            </w:pPr>
          </w:p>
        </w:tc>
        <w:tc>
          <w:tcPr>
            <w:tcW w:w="5947" w:type="dxa"/>
            <w:shd w:val="clear" w:color="auto" w:fill="auto"/>
          </w:tcPr>
          <w:p w14:paraId="3ABF57C9" w14:textId="77777777" w:rsidR="00250B3A" w:rsidRPr="00C015D2" w:rsidRDefault="00250B3A">
            <w:pPr>
              <w:widowControl w:val="0"/>
              <w:spacing w:before="5" w:after="0" w:line="240" w:lineRule="auto"/>
              <w:rPr>
                <w:rFonts w:eastAsia="Arial Narrow" w:cs="Arial Narrow"/>
                <w:b/>
                <w:spacing w:val="0"/>
              </w:rPr>
            </w:pPr>
          </w:p>
        </w:tc>
      </w:tr>
      <w:tr w:rsidR="00250B3A" w:rsidRPr="00727F07" w14:paraId="3FBBE98A" w14:textId="77777777" w:rsidTr="005550DE">
        <w:tc>
          <w:tcPr>
            <w:tcW w:w="1781" w:type="dxa"/>
            <w:shd w:val="clear" w:color="auto" w:fill="auto"/>
          </w:tcPr>
          <w:p w14:paraId="235B9B46" w14:textId="77777777" w:rsidR="00250B3A" w:rsidRPr="00C015D2" w:rsidRDefault="00250B3A">
            <w:pPr>
              <w:widowControl w:val="0"/>
              <w:spacing w:before="5" w:after="0" w:line="240" w:lineRule="auto"/>
              <w:rPr>
                <w:rFonts w:eastAsia="Arial Narrow" w:cs="Arial Narrow"/>
                <w:b/>
                <w:spacing w:val="0"/>
              </w:rPr>
            </w:pPr>
          </w:p>
        </w:tc>
        <w:tc>
          <w:tcPr>
            <w:tcW w:w="1717" w:type="dxa"/>
            <w:shd w:val="clear" w:color="auto" w:fill="auto"/>
          </w:tcPr>
          <w:p w14:paraId="0C6090B1" w14:textId="77777777" w:rsidR="00250B3A" w:rsidRPr="00C015D2" w:rsidRDefault="00250B3A">
            <w:pPr>
              <w:widowControl w:val="0"/>
              <w:spacing w:before="5" w:after="0" w:line="240" w:lineRule="auto"/>
              <w:rPr>
                <w:rFonts w:eastAsia="Arial Narrow" w:cs="Arial Narrow"/>
                <w:b/>
                <w:spacing w:val="0"/>
              </w:rPr>
            </w:pPr>
          </w:p>
        </w:tc>
        <w:tc>
          <w:tcPr>
            <w:tcW w:w="5947" w:type="dxa"/>
            <w:shd w:val="clear" w:color="auto" w:fill="auto"/>
          </w:tcPr>
          <w:p w14:paraId="6F9B9BFB" w14:textId="77777777" w:rsidR="00250B3A" w:rsidRPr="00C015D2" w:rsidRDefault="00250B3A">
            <w:pPr>
              <w:widowControl w:val="0"/>
              <w:spacing w:before="5" w:after="0" w:line="240" w:lineRule="auto"/>
              <w:rPr>
                <w:rFonts w:eastAsia="Arial Narrow" w:cs="Arial Narrow"/>
                <w:b/>
                <w:spacing w:val="0"/>
              </w:rPr>
            </w:pPr>
          </w:p>
        </w:tc>
      </w:tr>
      <w:tr w:rsidR="00250B3A" w:rsidRPr="00727F07" w14:paraId="522878B4" w14:textId="77777777" w:rsidTr="005550DE">
        <w:tc>
          <w:tcPr>
            <w:tcW w:w="1781" w:type="dxa"/>
            <w:shd w:val="clear" w:color="auto" w:fill="auto"/>
          </w:tcPr>
          <w:p w14:paraId="26FB28A1" w14:textId="77777777" w:rsidR="00250B3A" w:rsidRPr="00C015D2" w:rsidRDefault="00250B3A">
            <w:pPr>
              <w:widowControl w:val="0"/>
              <w:spacing w:before="5" w:after="0" w:line="240" w:lineRule="auto"/>
              <w:rPr>
                <w:rFonts w:eastAsia="Arial Narrow" w:cs="Arial Narrow"/>
                <w:b/>
                <w:spacing w:val="0"/>
              </w:rPr>
            </w:pPr>
          </w:p>
        </w:tc>
        <w:tc>
          <w:tcPr>
            <w:tcW w:w="1717" w:type="dxa"/>
            <w:shd w:val="clear" w:color="auto" w:fill="auto"/>
          </w:tcPr>
          <w:p w14:paraId="0C5265A2" w14:textId="77777777" w:rsidR="00250B3A" w:rsidRPr="00C015D2" w:rsidRDefault="00250B3A">
            <w:pPr>
              <w:widowControl w:val="0"/>
              <w:spacing w:before="5" w:after="0" w:line="240" w:lineRule="auto"/>
              <w:rPr>
                <w:rFonts w:eastAsia="Arial Narrow" w:cs="Arial Narrow"/>
                <w:b/>
                <w:spacing w:val="0"/>
              </w:rPr>
            </w:pPr>
          </w:p>
        </w:tc>
        <w:tc>
          <w:tcPr>
            <w:tcW w:w="5947" w:type="dxa"/>
            <w:shd w:val="clear" w:color="auto" w:fill="auto"/>
          </w:tcPr>
          <w:p w14:paraId="5011B3B8" w14:textId="77777777" w:rsidR="00250B3A" w:rsidRPr="00C015D2" w:rsidRDefault="00250B3A">
            <w:pPr>
              <w:widowControl w:val="0"/>
              <w:spacing w:before="5" w:after="0" w:line="240" w:lineRule="auto"/>
              <w:rPr>
                <w:rFonts w:eastAsia="Arial Narrow" w:cs="Arial Narrow"/>
                <w:b/>
                <w:spacing w:val="0"/>
              </w:rPr>
            </w:pPr>
          </w:p>
        </w:tc>
      </w:tr>
      <w:tr w:rsidR="00250B3A" w:rsidRPr="00727F07" w14:paraId="6B5E874A" w14:textId="77777777" w:rsidTr="005550DE">
        <w:tc>
          <w:tcPr>
            <w:tcW w:w="1781" w:type="dxa"/>
            <w:shd w:val="clear" w:color="auto" w:fill="auto"/>
          </w:tcPr>
          <w:p w14:paraId="75AB6994" w14:textId="77777777" w:rsidR="00250B3A" w:rsidRPr="00C015D2" w:rsidRDefault="00250B3A">
            <w:pPr>
              <w:widowControl w:val="0"/>
              <w:spacing w:before="5" w:after="0" w:line="240" w:lineRule="auto"/>
              <w:rPr>
                <w:rFonts w:eastAsia="Arial Narrow" w:cs="Arial Narrow"/>
                <w:b/>
                <w:spacing w:val="0"/>
              </w:rPr>
            </w:pPr>
          </w:p>
        </w:tc>
        <w:tc>
          <w:tcPr>
            <w:tcW w:w="1717" w:type="dxa"/>
            <w:shd w:val="clear" w:color="auto" w:fill="auto"/>
          </w:tcPr>
          <w:p w14:paraId="4BFE4AF3" w14:textId="77777777" w:rsidR="00250B3A" w:rsidRPr="00C015D2" w:rsidRDefault="00250B3A">
            <w:pPr>
              <w:widowControl w:val="0"/>
              <w:spacing w:before="5" w:after="0" w:line="240" w:lineRule="auto"/>
              <w:rPr>
                <w:rFonts w:eastAsia="Arial Narrow" w:cs="Arial Narrow"/>
                <w:b/>
                <w:spacing w:val="0"/>
              </w:rPr>
            </w:pPr>
          </w:p>
        </w:tc>
        <w:tc>
          <w:tcPr>
            <w:tcW w:w="5947" w:type="dxa"/>
            <w:shd w:val="clear" w:color="auto" w:fill="auto"/>
          </w:tcPr>
          <w:p w14:paraId="758E339A" w14:textId="77777777" w:rsidR="00250B3A" w:rsidRPr="00C015D2" w:rsidRDefault="00250B3A">
            <w:pPr>
              <w:widowControl w:val="0"/>
              <w:spacing w:before="5" w:after="0" w:line="240" w:lineRule="auto"/>
              <w:rPr>
                <w:rFonts w:eastAsia="Arial Narrow" w:cs="Arial Narrow"/>
                <w:b/>
                <w:spacing w:val="0"/>
              </w:rPr>
            </w:pPr>
          </w:p>
        </w:tc>
      </w:tr>
      <w:tr w:rsidR="00250B3A" w:rsidRPr="00727F07" w14:paraId="791D5C3B" w14:textId="77777777" w:rsidTr="005550DE">
        <w:tc>
          <w:tcPr>
            <w:tcW w:w="1781" w:type="dxa"/>
            <w:shd w:val="clear" w:color="auto" w:fill="auto"/>
          </w:tcPr>
          <w:p w14:paraId="247914E6" w14:textId="77777777" w:rsidR="00250B3A" w:rsidRPr="00C015D2" w:rsidRDefault="00250B3A">
            <w:pPr>
              <w:widowControl w:val="0"/>
              <w:spacing w:before="5" w:after="0" w:line="240" w:lineRule="auto"/>
              <w:rPr>
                <w:rFonts w:eastAsia="Arial Narrow" w:cs="Arial Narrow"/>
                <w:b/>
                <w:spacing w:val="0"/>
              </w:rPr>
            </w:pPr>
          </w:p>
        </w:tc>
        <w:tc>
          <w:tcPr>
            <w:tcW w:w="1717" w:type="dxa"/>
            <w:shd w:val="clear" w:color="auto" w:fill="auto"/>
          </w:tcPr>
          <w:p w14:paraId="54238E80" w14:textId="77777777" w:rsidR="00250B3A" w:rsidRPr="00C015D2" w:rsidRDefault="00250B3A">
            <w:pPr>
              <w:widowControl w:val="0"/>
              <w:spacing w:before="5" w:after="0" w:line="240" w:lineRule="auto"/>
              <w:rPr>
                <w:rFonts w:eastAsia="Arial Narrow" w:cs="Arial Narrow"/>
                <w:b/>
                <w:spacing w:val="0"/>
              </w:rPr>
            </w:pPr>
          </w:p>
        </w:tc>
        <w:tc>
          <w:tcPr>
            <w:tcW w:w="5947" w:type="dxa"/>
            <w:shd w:val="clear" w:color="auto" w:fill="auto"/>
          </w:tcPr>
          <w:p w14:paraId="731EA142" w14:textId="77777777" w:rsidR="00250B3A" w:rsidRPr="00C015D2" w:rsidRDefault="00250B3A">
            <w:pPr>
              <w:widowControl w:val="0"/>
              <w:spacing w:before="5" w:after="0" w:line="240" w:lineRule="auto"/>
              <w:rPr>
                <w:rFonts w:eastAsia="Arial Narrow" w:cs="Arial Narrow"/>
                <w:b/>
                <w:spacing w:val="0"/>
              </w:rPr>
            </w:pPr>
          </w:p>
        </w:tc>
      </w:tr>
      <w:tr w:rsidR="00420BBC" w:rsidRPr="00727F07" w14:paraId="169F791C" w14:textId="77777777" w:rsidTr="005550DE">
        <w:tc>
          <w:tcPr>
            <w:tcW w:w="1781" w:type="dxa"/>
            <w:shd w:val="clear" w:color="auto" w:fill="auto"/>
          </w:tcPr>
          <w:p w14:paraId="59FE0730" w14:textId="77777777" w:rsidR="00420BBC" w:rsidRPr="00C015D2" w:rsidRDefault="00420BBC">
            <w:pPr>
              <w:widowControl w:val="0"/>
              <w:spacing w:before="5" w:after="0" w:line="240" w:lineRule="auto"/>
              <w:rPr>
                <w:rFonts w:eastAsia="Arial Narrow" w:cs="Arial Narrow"/>
                <w:b/>
                <w:spacing w:val="0"/>
              </w:rPr>
            </w:pPr>
          </w:p>
        </w:tc>
        <w:tc>
          <w:tcPr>
            <w:tcW w:w="1717" w:type="dxa"/>
            <w:shd w:val="clear" w:color="auto" w:fill="auto"/>
          </w:tcPr>
          <w:p w14:paraId="01669801" w14:textId="77777777" w:rsidR="00420BBC" w:rsidRPr="00C015D2" w:rsidRDefault="00420BBC">
            <w:pPr>
              <w:widowControl w:val="0"/>
              <w:spacing w:before="5" w:after="0" w:line="240" w:lineRule="auto"/>
              <w:rPr>
                <w:rFonts w:eastAsia="Arial Narrow" w:cs="Arial Narrow"/>
                <w:b/>
                <w:spacing w:val="0"/>
              </w:rPr>
            </w:pPr>
          </w:p>
        </w:tc>
        <w:tc>
          <w:tcPr>
            <w:tcW w:w="5947" w:type="dxa"/>
            <w:shd w:val="clear" w:color="auto" w:fill="auto"/>
          </w:tcPr>
          <w:p w14:paraId="57E2107D" w14:textId="77777777" w:rsidR="00420BBC" w:rsidRPr="00C015D2" w:rsidRDefault="00420BBC">
            <w:pPr>
              <w:widowControl w:val="0"/>
              <w:spacing w:before="5" w:after="0" w:line="240" w:lineRule="auto"/>
              <w:rPr>
                <w:rFonts w:eastAsia="Arial Narrow" w:cs="Arial Narrow"/>
                <w:b/>
                <w:spacing w:val="0"/>
              </w:rPr>
            </w:pPr>
          </w:p>
        </w:tc>
      </w:tr>
      <w:tr w:rsidR="00420BBC" w:rsidRPr="00727F07" w14:paraId="2E11B38B" w14:textId="77777777" w:rsidTr="005550DE">
        <w:tc>
          <w:tcPr>
            <w:tcW w:w="1781" w:type="dxa"/>
            <w:shd w:val="clear" w:color="auto" w:fill="auto"/>
          </w:tcPr>
          <w:p w14:paraId="571BE04D" w14:textId="77777777" w:rsidR="00420BBC" w:rsidRPr="00C015D2" w:rsidRDefault="00420BBC">
            <w:pPr>
              <w:widowControl w:val="0"/>
              <w:spacing w:before="5" w:after="0" w:line="240" w:lineRule="auto"/>
              <w:rPr>
                <w:rFonts w:eastAsia="Arial Narrow" w:cs="Arial Narrow"/>
                <w:b/>
                <w:spacing w:val="0"/>
              </w:rPr>
            </w:pPr>
          </w:p>
        </w:tc>
        <w:tc>
          <w:tcPr>
            <w:tcW w:w="1717" w:type="dxa"/>
            <w:shd w:val="clear" w:color="auto" w:fill="auto"/>
          </w:tcPr>
          <w:p w14:paraId="6378DC3D" w14:textId="77777777" w:rsidR="00420BBC" w:rsidRPr="00C015D2" w:rsidRDefault="00420BBC">
            <w:pPr>
              <w:widowControl w:val="0"/>
              <w:spacing w:before="5" w:after="0" w:line="240" w:lineRule="auto"/>
              <w:rPr>
                <w:rFonts w:eastAsia="Arial Narrow" w:cs="Arial Narrow"/>
                <w:b/>
                <w:spacing w:val="0"/>
              </w:rPr>
            </w:pPr>
          </w:p>
        </w:tc>
        <w:tc>
          <w:tcPr>
            <w:tcW w:w="5947" w:type="dxa"/>
            <w:shd w:val="clear" w:color="auto" w:fill="auto"/>
          </w:tcPr>
          <w:p w14:paraId="2EA5EA13" w14:textId="77777777" w:rsidR="00420BBC" w:rsidRPr="00C015D2" w:rsidRDefault="00420BBC">
            <w:pPr>
              <w:widowControl w:val="0"/>
              <w:spacing w:before="5" w:after="0" w:line="240" w:lineRule="auto"/>
              <w:rPr>
                <w:rFonts w:eastAsia="Arial Narrow" w:cs="Arial Narrow"/>
                <w:b/>
                <w:spacing w:val="0"/>
              </w:rPr>
            </w:pPr>
          </w:p>
        </w:tc>
      </w:tr>
      <w:tr w:rsidR="00C74A3D" w:rsidRPr="00727F07" w14:paraId="2982EEBD" w14:textId="77777777" w:rsidTr="005550DE">
        <w:tc>
          <w:tcPr>
            <w:tcW w:w="1781" w:type="dxa"/>
            <w:shd w:val="clear" w:color="auto" w:fill="auto"/>
          </w:tcPr>
          <w:p w14:paraId="3EF5FE33" w14:textId="77777777" w:rsidR="00C74A3D" w:rsidRPr="00C015D2" w:rsidRDefault="00C74A3D">
            <w:pPr>
              <w:widowControl w:val="0"/>
              <w:spacing w:before="5" w:after="0" w:line="240" w:lineRule="auto"/>
              <w:rPr>
                <w:rFonts w:eastAsia="Arial Narrow" w:cs="Arial Narrow"/>
                <w:b/>
                <w:spacing w:val="0"/>
              </w:rPr>
            </w:pPr>
          </w:p>
        </w:tc>
        <w:tc>
          <w:tcPr>
            <w:tcW w:w="1717" w:type="dxa"/>
            <w:shd w:val="clear" w:color="auto" w:fill="auto"/>
          </w:tcPr>
          <w:p w14:paraId="7E25BEE5" w14:textId="77777777" w:rsidR="00C74A3D" w:rsidRPr="00C015D2" w:rsidRDefault="00C74A3D">
            <w:pPr>
              <w:widowControl w:val="0"/>
              <w:spacing w:before="5" w:after="0" w:line="240" w:lineRule="auto"/>
              <w:rPr>
                <w:rFonts w:eastAsia="Arial Narrow" w:cs="Arial Narrow"/>
                <w:b/>
                <w:spacing w:val="0"/>
              </w:rPr>
            </w:pPr>
          </w:p>
        </w:tc>
        <w:tc>
          <w:tcPr>
            <w:tcW w:w="5947" w:type="dxa"/>
            <w:shd w:val="clear" w:color="auto" w:fill="auto"/>
          </w:tcPr>
          <w:p w14:paraId="09194544" w14:textId="77777777" w:rsidR="00C74A3D" w:rsidRPr="00C015D2" w:rsidRDefault="00C74A3D">
            <w:pPr>
              <w:widowControl w:val="0"/>
              <w:spacing w:before="5" w:after="0" w:line="240" w:lineRule="auto"/>
              <w:rPr>
                <w:rFonts w:eastAsia="Arial Narrow" w:cs="Arial Narrow"/>
                <w:b/>
                <w:spacing w:val="0"/>
              </w:rPr>
            </w:pPr>
          </w:p>
        </w:tc>
      </w:tr>
      <w:tr w:rsidR="00C74A3D" w:rsidRPr="00727F07" w14:paraId="079BA186" w14:textId="77777777" w:rsidTr="005550DE">
        <w:tc>
          <w:tcPr>
            <w:tcW w:w="1781" w:type="dxa"/>
            <w:shd w:val="clear" w:color="auto" w:fill="auto"/>
          </w:tcPr>
          <w:p w14:paraId="1F0D8282" w14:textId="77777777" w:rsidR="00C74A3D" w:rsidRPr="00C015D2" w:rsidRDefault="00C74A3D">
            <w:pPr>
              <w:widowControl w:val="0"/>
              <w:spacing w:before="5" w:after="0" w:line="240" w:lineRule="auto"/>
              <w:rPr>
                <w:rFonts w:eastAsia="Arial Narrow" w:cs="Arial Narrow"/>
                <w:b/>
                <w:spacing w:val="0"/>
              </w:rPr>
            </w:pPr>
          </w:p>
        </w:tc>
        <w:tc>
          <w:tcPr>
            <w:tcW w:w="1717" w:type="dxa"/>
            <w:shd w:val="clear" w:color="auto" w:fill="auto"/>
          </w:tcPr>
          <w:p w14:paraId="64547164" w14:textId="77777777" w:rsidR="00C74A3D" w:rsidRPr="00C015D2" w:rsidRDefault="00C74A3D">
            <w:pPr>
              <w:widowControl w:val="0"/>
              <w:spacing w:before="5" w:after="0" w:line="240" w:lineRule="auto"/>
              <w:rPr>
                <w:rFonts w:eastAsia="Arial Narrow" w:cs="Arial Narrow"/>
                <w:b/>
                <w:spacing w:val="0"/>
              </w:rPr>
            </w:pPr>
          </w:p>
        </w:tc>
        <w:tc>
          <w:tcPr>
            <w:tcW w:w="5947" w:type="dxa"/>
            <w:shd w:val="clear" w:color="auto" w:fill="auto"/>
          </w:tcPr>
          <w:p w14:paraId="168F0410" w14:textId="77777777" w:rsidR="00C74A3D" w:rsidRPr="00C015D2" w:rsidRDefault="00C74A3D">
            <w:pPr>
              <w:widowControl w:val="0"/>
              <w:spacing w:before="5" w:after="0" w:line="240" w:lineRule="auto"/>
              <w:rPr>
                <w:rFonts w:eastAsia="Arial Narrow" w:cs="Arial Narrow"/>
                <w:b/>
                <w:spacing w:val="0"/>
              </w:rPr>
            </w:pPr>
          </w:p>
        </w:tc>
      </w:tr>
      <w:tr w:rsidR="00C74A3D" w:rsidRPr="00727F07" w14:paraId="2811739D" w14:textId="77777777" w:rsidTr="005550DE">
        <w:tc>
          <w:tcPr>
            <w:tcW w:w="1781" w:type="dxa"/>
            <w:shd w:val="clear" w:color="auto" w:fill="auto"/>
          </w:tcPr>
          <w:p w14:paraId="78903EA2" w14:textId="77777777" w:rsidR="00C74A3D" w:rsidRPr="00C015D2" w:rsidRDefault="00C74A3D">
            <w:pPr>
              <w:widowControl w:val="0"/>
              <w:spacing w:before="5" w:after="0" w:line="240" w:lineRule="auto"/>
              <w:rPr>
                <w:rFonts w:eastAsia="Arial Narrow" w:cs="Arial Narrow"/>
                <w:b/>
                <w:spacing w:val="0"/>
              </w:rPr>
            </w:pPr>
          </w:p>
        </w:tc>
        <w:tc>
          <w:tcPr>
            <w:tcW w:w="1717" w:type="dxa"/>
            <w:shd w:val="clear" w:color="auto" w:fill="auto"/>
          </w:tcPr>
          <w:p w14:paraId="50BFCC74" w14:textId="77777777" w:rsidR="00C74A3D" w:rsidRPr="00C015D2" w:rsidRDefault="00C74A3D">
            <w:pPr>
              <w:widowControl w:val="0"/>
              <w:spacing w:before="5" w:after="0" w:line="240" w:lineRule="auto"/>
              <w:rPr>
                <w:rFonts w:eastAsia="Arial Narrow" w:cs="Arial Narrow"/>
                <w:b/>
                <w:spacing w:val="0"/>
              </w:rPr>
            </w:pPr>
          </w:p>
        </w:tc>
        <w:tc>
          <w:tcPr>
            <w:tcW w:w="5947" w:type="dxa"/>
            <w:shd w:val="clear" w:color="auto" w:fill="auto"/>
          </w:tcPr>
          <w:p w14:paraId="691364DD" w14:textId="77777777" w:rsidR="00C74A3D" w:rsidRPr="00C015D2" w:rsidRDefault="00C74A3D">
            <w:pPr>
              <w:widowControl w:val="0"/>
              <w:spacing w:before="5" w:after="0" w:line="240" w:lineRule="auto"/>
              <w:rPr>
                <w:rFonts w:eastAsia="Arial Narrow" w:cs="Arial Narrow"/>
                <w:b/>
                <w:spacing w:val="0"/>
              </w:rPr>
            </w:pPr>
          </w:p>
        </w:tc>
      </w:tr>
      <w:tr w:rsidR="00C74A3D" w:rsidRPr="00727F07" w14:paraId="052FB05D" w14:textId="77777777" w:rsidTr="005550DE">
        <w:tc>
          <w:tcPr>
            <w:tcW w:w="1781" w:type="dxa"/>
            <w:shd w:val="clear" w:color="auto" w:fill="auto"/>
          </w:tcPr>
          <w:p w14:paraId="408D1524" w14:textId="77777777" w:rsidR="00C74A3D" w:rsidRPr="00C015D2" w:rsidRDefault="00C74A3D">
            <w:pPr>
              <w:widowControl w:val="0"/>
              <w:spacing w:before="5" w:after="0" w:line="240" w:lineRule="auto"/>
              <w:rPr>
                <w:rFonts w:eastAsia="Arial Narrow" w:cs="Arial Narrow"/>
                <w:b/>
                <w:spacing w:val="0"/>
              </w:rPr>
            </w:pPr>
          </w:p>
        </w:tc>
        <w:tc>
          <w:tcPr>
            <w:tcW w:w="1717" w:type="dxa"/>
            <w:shd w:val="clear" w:color="auto" w:fill="auto"/>
          </w:tcPr>
          <w:p w14:paraId="7F70EE60" w14:textId="77777777" w:rsidR="00C74A3D" w:rsidRPr="00C015D2" w:rsidRDefault="00C74A3D">
            <w:pPr>
              <w:widowControl w:val="0"/>
              <w:spacing w:before="5" w:after="0" w:line="240" w:lineRule="auto"/>
              <w:rPr>
                <w:rFonts w:eastAsia="Arial Narrow" w:cs="Arial Narrow"/>
                <w:b/>
                <w:spacing w:val="0"/>
              </w:rPr>
            </w:pPr>
          </w:p>
        </w:tc>
        <w:tc>
          <w:tcPr>
            <w:tcW w:w="5947" w:type="dxa"/>
            <w:shd w:val="clear" w:color="auto" w:fill="auto"/>
          </w:tcPr>
          <w:p w14:paraId="2A75D316" w14:textId="77777777" w:rsidR="00C74A3D" w:rsidRPr="00C015D2" w:rsidRDefault="00C74A3D">
            <w:pPr>
              <w:widowControl w:val="0"/>
              <w:spacing w:before="5" w:after="0" w:line="240" w:lineRule="auto"/>
              <w:rPr>
                <w:rFonts w:eastAsia="Arial Narrow" w:cs="Arial Narrow"/>
                <w:b/>
                <w:spacing w:val="0"/>
              </w:rPr>
            </w:pPr>
          </w:p>
        </w:tc>
      </w:tr>
      <w:tr w:rsidR="00775DD3" w:rsidRPr="00727F07" w14:paraId="28FD466E" w14:textId="77777777" w:rsidTr="005550DE">
        <w:tc>
          <w:tcPr>
            <w:tcW w:w="1781" w:type="dxa"/>
            <w:shd w:val="clear" w:color="auto" w:fill="auto"/>
          </w:tcPr>
          <w:p w14:paraId="1CA7F87C" w14:textId="77777777" w:rsidR="00775DD3" w:rsidRPr="00C015D2" w:rsidRDefault="00775DD3">
            <w:pPr>
              <w:widowControl w:val="0"/>
              <w:spacing w:before="5" w:after="0" w:line="240" w:lineRule="auto"/>
              <w:rPr>
                <w:rFonts w:eastAsia="Arial Narrow" w:cs="Arial Narrow"/>
                <w:b/>
                <w:spacing w:val="0"/>
              </w:rPr>
            </w:pPr>
          </w:p>
        </w:tc>
        <w:tc>
          <w:tcPr>
            <w:tcW w:w="1717" w:type="dxa"/>
            <w:shd w:val="clear" w:color="auto" w:fill="auto"/>
          </w:tcPr>
          <w:p w14:paraId="72F45C2D" w14:textId="77777777" w:rsidR="00775DD3" w:rsidRPr="00C015D2" w:rsidRDefault="00775DD3">
            <w:pPr>
              <w:widowControl w:val="0"/>
              <w:spacing w:before="5" w:after="0" w:line="240" w:lineRule="auto"/>
              <w:rPr>
                <w:rFonts w:eastAsia="Arial Narrow" w:cs="Arial Narrow"/>
                <w:b/>
                <w:spacing w:val="0"/>
              </w:rPr>
            </w:pPr>
          </w:p>
        </w:tc>
        <w:tc>
          <w:tcPr>
            <w:tcW w:w="5947" w:type="dxa"/>
            <w:shd w:val="clear" w:color="auto" w:fill="auto"/>
          </w:tcPr>
          <w:p w14:paraId="23810DDB" w14:textId="77777777" w:rsidR="00775DD3" w:rsidRPr="00C015D2" w:rsidRDefault="00775DD3">
            <w:pPr>
              <w:widowControl w:val="0"/>
              <w:spacing w:before="5" w:after="0" w:line="240" w:lineRule="auto"/>
              <w:rPr>
                <w:rFonts w:eastAsia="Arial Narrow" w:cs="Arial Narrow"/>
                <w:b/>
                <w:spacing w:val="0"/>
              </w:rPr>
            </w:pPr>
          </w:p>
        </w:tc>
      </w:tr>
      <w:tr w:rsidR="00775DD3" w:rsidRPr="00727F07" w14:paraId="7F07CC5F" w14:textId="77777777" w:rsidTr="005550DE">
        <w:tc>
          <w:tcPr>
            <w:tcW w:w="1781" w:type="dxa"/>
            <w:shd w:val="clear" w:color="auto" w:fill="auto"/>
          </w:tcPr>
          <w:p w14:paraId="1783A276" w14:textId="77777777" w:rsidR="00775DD3" w:rsidRPr="00C015D2" w:rsidRDefault="00775DD3">
            <w:pPr>
              <w:widowControl w:val="0"/>
              <w:spacing w:before="5" w:after="0" w:line="240" w:lineRule="auto"/>
              <w:rPr>
                <w:rFonts w:eastAsia="Arial Narrow" w:cs="Arial Narrow"/>
                <w:b/>
                <w:spacing w:val="0"/>
              </w:rPr>
            </w:pPr>
          </w:p>
        </w:tc>
        <w:tc>
          <w:tcPr>
            <w:tcW w:w="1717" w:type="dxa"/>
            <w:shd w:val="clear" w:color="auto" w:fill="auto"/>
          </w:tcPr>
          <w:p w14:paraId="2FFC3AB2" w14:textId="77777777" w:rsidR="00775DD3" w:rsidRPr="00C015D2" w:rsidRDefault="00775DD3">
            <w:pPr>
              <w:widowControl w:val="0"/>
              <w:spacing w:before="5" w:after="0" w:line="240" w:lineRule="auto"/>
              <w:rPr>
                <w:rFonts w:eastAsia="Arial Narrow" w:cs="Arial Narrow"/>
                <w:b/>
                <w:spacing w:val="0"/>
              </w:rPr>
            </w:pPr>
          </w:p>
        </w:tc>
        <w:tc>
          <w:tcPr>
            <w:tcW w:w="5947" w:type="dxa"/>
            <w:shd w:val="clear" w:color="auto" w:fill="auto"/>
          </w:tcPr>
          <w:p w14:paraId="7A64907C" w14:textId="77777777" w:rsidR="00775DD3" w:rsidRPr="00C015D2" w:rsidRDefault="00775DD3">
            <w:pPr>
              <w:widowControl w:val="0"/>
              <w:spacing w:before="5" w:after="0" w:line="240" w:lineRule="auto"/>
              <w:rPr>
                <w:rFonts w:eastAsia="Arial Narrow" w:cs="Arial Narrow"/>
                <w:b/>
                <w:spacing w:val="0"/>
              </w:rPr>
            </w:pPr>
          </w:p>
        </w:tc>
      </w:tr>
    </w:tbl>
    <w:p w14:paraId="31E4DCA5" w14:textId="74230DD5" w:rsidR="00FB0C63" w:rsidRDefault="00FB0C63" w:rsidP="00007D60"/>
    <w:p w14:paraId="7FD68BA0" w14:textId="77777777" w:rsidR="00B12570" w:rsidRDefault="00B12570">
      <w:pPr>
        <w:spacing w:after="160" w:line="259" w:lineRule="auto"/>
        <w:rPr>
          <w:rFonts w:eastAsia="Times New Roman" w:cs="Times New Roman"/>
          <w:b/>
          <w:color w:val="009ED1"/>
          <w:spacing w:val="0"/>
        </w:rPr>
      </w:pPr>
      <w:r>
        <w:rPr>
          <w:rFonts w:eastAsia="Times New Roman" w:cs="Times New Roman"/>
          <w:spacing w:val="0"/>
        </w:rPr>
        <w:br w:type="page"/>
      </w:r>
    </w:p>
    <w:p w14:paraId="7D5B95FB" w14:textId="14FCE175" w:rsidR="00DB0835" w:rsidRPr="006F6525" w:rsidRDefault="00250B3A" w:rsidP="006F6525">
      <w:pPr>
        <w:pStyle w:val="Heading2"/>
        <w:rPr>
          <w:rStyle w:val="normaltextrun"/>
        </w:rPr>
      </w:pPr>
      <w:bookmarkStart w:id="26" w:name="_2.1_–_Preliminary"/>
      <w:bookmarkStart w:id="27" w:name="_Toc187052936"/>
      <w:bookmarkStart w:id="28" w:name="_Toc187924134"/>
      <w:bookmarkEnd w:id="26"/>
      <w:r w:rsidRPr="36A80A07">
        <w:rPr>
          <w:rStyle w:val="normaltextrun"/>
        </w:rPr>
        <w:lastRenderedPageBreak/>
        <w:t>2</w:t>
      </w:r>
      <w:r w:rsidR="00DB0835" w:rsidRPr="36A80A07">
        <w:rPr>
          <w:rStyle w:val="normaltextrun"/>
        </w:rPr>
        <w:t>.</w:t>
      </w:r>
      <w:r w:rsidRPr="36A80A07">
        <w:rPr>
          <w:rStyle w:val="normaltextrun"/>
        </w:rPr>
        <w:t>1</w:t>
      </w:r>
      <w:r w:rsidR="00DB0835" w:rsidRPr="36A80A07">
        <w:rPr>
          <w:rStyle w:val="normaltextrun"/>
        </w:rPr>
        <w:t xml:space="preserve"> – Preliminary Determinations</w:t>
      </w:r>
      <w:bookmarkEnd w:id="27"/>
      <w:bookmarkEnd w:id="28"/>
    </w:p>
    <w:p w14:paraId="3D95AB34" w14:textId="1E6E33B1" w:rsidR="00DB0835" w:rsidRPr="00CF76B6" w:rsidRDefault="00DB0835" w:rsidP="00800F63">
      <w:pPr>
        <w:textAlignment w:val="baseline"/>
        <w:rPr>
          <w:rFonts w:eastAsia="Times New Roman" w:cs="Sans Serif Collection"/>
          <w:spacing w:val="0"/>
        </w:rPr>
      </w:pPr>
      <w:r w:rsidRPr="00CF76B6">
        <w:rPr>
          <w:rFonts w:eastAsia="Times New Roman" w:cs="Times New Roman"/>
          <w:spacing w:val="0"/>
        </w:rPr>
        <w:t xml:space="preserve">Preliminary determinations are addressed in numerous policies, including the </w:t>
      </w:r>
      <w:r w:rsidRPr="64DB3116">
        <w:rPr>
          <w:rFonts w:eastAsia="Times New Roman" w:cs="Times New Roman"/>
          <w:b/>
          <w:bCs/>
          <w:spacing w:val="0"/>
        </w:rPr>
        <w:t>Federal Personnel Vetting Guidelines</w:t>
      </w:r>
      <w:r w:rsidRPr="00CF76B6">
        <w:rPr>
          <w:rFonts w:eastAsia="Times New Roman" w:cs="Times New Roman"/>
          <w:spacing w:val="0"/>
        </w:rPr>
        <w:t xml:space="preserve">, February 2022; </w:t>
      </w:r>
      <w:r w:rsidRPr="64DB3116">
        <w:rPr>
          <w:rFonts w:eastAsia="Times New Roman" w:cs="Times New Roman"/>
          <w:b/>
          <w:bCs/>
          <w:spacing w:val="0"/>
        </w:rPr>
        <w:t xml:space="preserve">Federal Personnel Investigative Standards (Investigative Standards), </w:t>
      </w:r>
      <w:r w:rsidRPr="00B66CF9">
        <w:rPr>
          <w:rFonts w:eastAsia="Times New Roman" w:cs="Times New Roman"/>
          <w:spacing w:val="0"/>
        </w:rPr>
        <w:t>May 2022</w:t>
      </w:r>
      <w:r w:rsidRPr="00CF76B6">
        <w:rPr>
          <w:rFonts w:eastAsia="Times New Roman" w:cs="Times New Roman"/>
          <w:spacing w:val="0"/>
        </w:rPr>
        <w:t xml:space="preserve">; and </w:t>
      </w:r>
      <w:r w:rsidRPr="64DB3116">
        <w:rPr>
          <w:rFonts w:eastAsia="Times New Roman" w:cs="Sans Serif Collection"/>
          <w:b/>
          <w:bCs/>
          <w:spacing w:val="0"/>
        </w:rPr>
        <w:t xml:space="preserve">Common Principles in Applying Federal Personnel Vetting Adjudicative Standards (Common Principles), </w:t>
      </w:r>
      <w:r w:rsidRPr="00CF76B6">
        <w:rPr>
          <w:rFonts w:eastAsia="Times New Roman" w:cs="Sans Serif Collection"/>
          <w:spacing w:val="0"/>
        </w:rPr>
        <w:t xml:space="preserve">July 2022. Considering the results of </w:t>
      </w:r>
      <w:r w:rsidRPr="64DB3116">
        <w:rPr>
          <w:rFonts w:eastAsia="Times New Roman" w:cs="Sans Serif Collection"/>
        </w:rPr>
        <w:t>high yield checks (</w:t>
      </w:r>
      <w:r w:rsidRPr="00CF76B6">
        <w:rPr>
          <w:rFonts w:eastAsia="Times New Roman" w:cs="Sans Serif Collection"/>
          <w:spacing w:val="0"/>
        </w:rPr>
        <w:t>HYC</w:t>
      </w:r>
      <w:r w:rsidRPr="64DB3116">
        <w:rPr>
          <w:rFonts w:eastAsia="Times New Roman" w:cs="Sans Serif Collection"/>
        </w:rPr>
        <w:t>)</w:t>
      </w:r>
      <w:r w:rsidRPr="00CF76B6">
        <w:rPr>
          <w:rFonts w:eastAsia="Times New Roman" w:cs="Sans Serif Collection"/>
          <w:spacing w:val="0"/>
        </w:rPr>
        <w:t>, using the suitability and fitness criteria</w:t>
      </w:r>
      <w:r w:rsidR="00250B3A" w:rsidRPr="00CF76B6">
        <w:rPr>
          <w:rFonts w:eastAsia="Times New Roman" w:cs="Sans Serif Collection"/>
          <w:spacing w:val="0"/>
        </w:rPr>
        <w:t xml:space="preserve"> as addressed in </w:t>
      </w:r>
      <w:hyperlink w:anchor="_3.5_–_Suitability" w:history="1">
        <w:r w:rsidR="00250B3A" w:rsidRPr="64DB3116">
          <w:rPr>
            <w:rStyle w:val="Hyperlink"/>
            <w:rFonts w:eastAsia="Times New Roman" w:cs="Sans Serif Collection"/>
          </w:rPr>
          <w:t>Volume 3</w:t>
        </w:r>
      </w:hyperlink>
      <w:r w:rsidR="00250B3A" w:rsidRPr="00CF76B6">
        <w:rPr>
          <w:rFonts w:eastAsia="Times New Roman" w:cs="Sans Serif Collection"/>
          <w:spacing w:val="0"/>
        </w:rPr>
        <w:t xml:space="preserve"> of this Manual</w:t>
      </w:r>
      <w:r w:rsidRPr="00CF76B6">
        <w:rPr>
          <w:rFonts w:eastAsia="Times New Roman" w:cs="Sans Serif Collection"/>
          <w:spacing w:val="0"/>
        </w:rPr>
        <w:t xml:space="preserve">, agencies make a risk-based decision of whether to allow an individual to enter on duty prior to completion of initial vetting. HYCs are automated record checks and are identified in the Investigative Standards, by investigative tier. </w:t>
      </w:r>
    </w:p>
    <w:p w14:paraId="38668184" w14:textId="0E476CFF" w:rsidR="00DB0835" w:rsidRPr="00800F63" w:rsidRDefault="00DB0835" w:rsidP="00800F63">
      <w:pPr>
        <w:textAlignment w:val="baseline"/>
        <w:rPr>
          <w:rFonts w:eastAsia="Times New Roman" w:cs="Times New Roman"/>
          <w:spacing w:val="0"/>
        </w:rPr>
      </w:pPr>
      <w:r w:rsidRPr="00CF76B6">
        <w:rPr>
          <w:rFonts w:eastAsia="Times New Roman" w:cs="Sans Serif Collection"/>
          <w:spacing w:val="0"/>
        </w:rPr>
        <w:t>In the ideal process of making preliminary determinations, agencies determine via the results of the HYCs if they will accept the risk of allowing an individual to enter on duty in advance of completion of the remainder of required coverage for the respective investigative tier. Preliminary determinations are reported into the government</w:t>
      </w:r>
      <w:r w:rsidR="00BB21FA">
        <w:rPr>
          <w:rFonts w:eastAsia="Times New Roman" w:cs="Sans Serif Collection"/>
          <w:spacing w:val="0"/>
        </w:rPr>
        <w:t>-</w:t>
      </w:r>
      <w:r w:rsidRPr="00CF76B6">
        <w:rPr>
          <w:rFonts w:eastAsia="Times New Roman" w:cs="Sans Serif Collection"/>
          <w:spacing w:val="0"/>
        </w:rPr>
        <w:t>wide repository(ies).</w:t>
      </w:r>
    </w:p>
    <w:p w14:paraId="4F838456" w14:textId="3586F823" w:rsidR="00DB0835" w:rsidRPr="006F6525" w:rsidRDefault="00250B3A" w:rsidP="006F6525">
      <w:pPr>
        <w:pStyle w:val="Heading2"/>
        <w:rPr>
          <w:rStyle w:val="normaltextrun"/>
        </w:rPr>
      </w:pPr>
      <w:bookmarkStart w:id="29" w:name="_Toc187052937"/>
      <w:bookmarkStart w:id="30" w:name="_Toc187924135"/>
      <w:bookmarkStart w:id="31" w:name="_Hlk185350467"/>
      <w:r w:rsidRPr="36A80A07">
        <w:rPr>
          <w:rStyle w:val="normaltextrun"/>
        </w:rPr>
        <w:t>2.2</w:t>
      </w:r>
      <w:r w:rsidR="00DB0835" w:rsidRPr="36A80A07">
        <w:rPr>
          <w:rStyle w:val="normaltextrun"/>
        </w:rPr>
        <w:t xml:space="preserve"> – Trust Determinations</w:t>
      </w:r>
      <w:bookmarkEnd w:id="29"/>
      <w:bookmarkEnd w:id="30"/>
    </w:p>
    <w:bookmarkEnd w:id="31"/>
    <w:p w14:paraId="497E952B" w14:textId="468C320C" w:rsidR="00DB0835" w:rsidRPr="00E03A6B" w:rsidRDefault="00DB0835" w:rsidP="00E3461B">
      <w:pPr>
        <w:rPr>
          <w:rFonts w:eastAsia="Times New Roman" w:cs="Times New Roman"/>
          <w:spacing w:val="0"/>
        </w:rPr>
      </w:pPr>
      <w:r w:rsidRPr="00E03A6B">
        <w:rPr>
          <w:rFonts w:eastAsia="Times New Roman" w:cs="Times New Roman"/>
          <w:spacing w:val="0"/>
        </w:rPr>
        <w:t xml:space="preserve">Suitability, fitness, national security, and credentialing determinations are collectively referred to as “trust determinations.” The nature of a trust determination depends on the legal requirements for each vetting program. For suitability and fitness determinations, the trust </w:t>
      </w:r>
      <w:r w:rsidR="00ED6DD3">
        <w:rPr>
          <w:rFonts w:eastAsia="Times New Roman" w:cs="Times New Roman"/>
          <w:spacing w:val="0"/>
        </w:rPr>
        <w:t>determination</w:t>
      </w:r>
      <w:r w:rsidRPr="00E03A6B">
        <w:rPr>
          <w:rFonts w:eastAsia="Times New Roman" w:cs="Times New Roman"/>
          <w:spacing w:val="0"/>
        </w:rPr>
        <w:t xml:space="preserve"> is to ensure that admission into the civil service will best promote the efficiency of the service by ascertaining the fitness of applicants as to character for the employment sought. </w:t>
      </w:r>
      <w:hyperlink w:anchor="_3.4_–_How" w:history="1">
        <w:r w:rsidR="00250B3A" w:rsidRPr="00F06304">
          <w:rPr>
            <w:rStyle w:val="Hyperlink"/>
            <w:rFonts w:eastAsia="Times New Roman" w:cs="Times New Roman"/>
            <w:spacing w:val="0"/>
          </w:rPr>
          <w:t>Volume 3</w:t>
        </w:r>
      </w:hyperlink>
      <w:r w:rsidR="00250B3A" w:rsidRPr="00E03A6B">
        <w:rPr>
          <w:rFonts w:eastAsia="Times New Roman" w:cs="Times New Roman"/>
          <w:spacing w:val="0"/>
        </w:rPr>
        <w:t xml:space="preserve"> of this Manual provides guidance for making suitability and fitness determinations. All trust determinations must be reported to the government</w:t>
      </w:r>
      <w:r w:rsidR="00BB21FA">
        <w:rPr>
          <w:rFonts w:eastAsia="Times New Roman" w:cs="Times New Roman"/>
          <w:spacing w:val="0"/>
        </w:rPr>
        <w:t>-</w:t>
      </w:r>
      <w:r w:rsidR="00250B3A" w:rsidRPr="00E03A6B">
        <w:rPr>
          <w:rFonts w:eastAsia="Times New Roman" w:cs="Times New Roman"/>
          <w:spacing w:val="0"/>
        </w:rPr>
        <w:t>wide repository(ies).</w:t>
      </w:r>
    </w:p>
    <w:p w14:paraId="2410C0BC" w14:textId="664B82F8" w:rsidR="00DB0835" w:rsidRPr="006F6525" w:rsidRDefault="00250B3A" w:rsidP="000A7F6F">
      <w:pPr>
        <w:pStyle w:val="Heading3"/>
        <w:rPr>
          <w:rStyle w:val="normaltextrun"/>
        </w:rPr>
      </w:pPr>
      <w:bookmarkStart w:id="32" w:name="_Toc187052938"/>
      <w:bookmarkStart w:id="33" w:name="_Toc187924136"/>
      <w:r w:rsidRPr="36A80A07">
        <w:rPr>
          <w:rStyle w:val="normaltextrun"/>
        </w:rPr>
        <w:t>2.2.</w:t>
      </w:r>
      <w:r w:rsidR="000A7F6F" w:rsidRPr="36A80A07">
        <w:rPr>
          <w:rStyle w:val="normaltextrun"/>
        </w:rPr>
        <w:t>1</w:t>
      </w:r>
      <w:r w:rsidR="00DB0835" w:rsidRPr="36A80A07">
        <w:rPr>
          <w:rStyle w:val="normaltextrun"/>
        </w:rPr>
        <w:t xml:space="preserve"> – Requirement to </w:t>
      </w:r>
      <w:r w:rsidR="3FF81F22" w:rsidRPr="36A80A07">
        <w:rPr>
          <w:rStyle w:val="normaltextrun"/>
        </w:rPr>
        <w:t>M</w:t>
      </w:r>
      <w:r w:rsidR="00DB0835" w:rsidRPr="36A80A07">
        <w:rPr>
          <w:rStyle w:val="normaltextrun"/>
        </w:rPr>
        <w:t xml:space="preserve">ake </w:t>
      </w:r>
      <w:r w:rsidR="0C53C89A" w:rsidRPr="36A80A07">
        <w:rPr>
          <w:rStyle w:val="normaltextrun"/>
        </w:rPr>
        <w:t>S</w:t>
      </w:r>
      <w:r w:rsidR="00DB0835" w:rsidRPr="36A80A07">
        <w:rPr>
          <w:rStyle w:val="normaltextrun"/>
        </w:rPr>
        <w:t>uitability/</w:t>
      </w:r>
      <w:r w:rsidR="168D7DC3" w:rsidRPr="36A80A07">
        <w:rPr>
          <w:rStyle w:val="normaltextrun"/>
        </w:rPr>
        <w:t>F</w:t>
      </w:r>
      <w:r w:rsidR="00DB0835" w:rsidRPr="36A80A07">
        <w:rPr>
          <w:rStyle w:val="normaltextrun"/>
        </w:rPr>
        <w:t xml:space="preserve">itness </w:t>
      </w:r>
      <w:r w:rsidR="2E69810F" w:rsidRPr="36A80A07">
        <w:rPr>
          <w:rStyle w:val="normaltextrun"/>
        </w:rPr>
        <w:t>D</w:t>
      </w:r>
      <w:r w:rsidR="00DB0835" w:rsidRPr="36A80A07">
        <w:rPr>
          <w:rStyle w:val="normaltextrun"/>
        </w:rPr>
        <w:t>eterminations</w:t>
      </w:r>
      <w:bookmarkEnd w:id="32"/>
      <w:bookmarkEnd w:id="33"/>
    </w:p>
    <w:p w14:paraId="7E25E57F" w14:textId="77777777" w:rsidR="00DB0835" w:rsidRPr="00E03A6B" w:rsidRDefault="00DB0835" w:rsidP="00E03A6B">
      <w:pPr>
        <w:spacing w:after="60"/>
        <w:rPr>
          <w:rFonts w:eastAsia="Times New Roman" w:cs="Times New Roman"/>
          <w:spacing w:val="0"/>
        </w:rPr>
      </w:pPr>
      <w:r w:rsidRPr="00E03A6B">
        <w:rPr>
          <w:rFonts w:eastAsia="Times New Roman" w:cs="Times New Roman"/>
          <w:spacing w:val="0"/>
        </w:rPr>
        <w:t xml:space="preserve">In accordance with the Order of Operations specified in the </w:t>
      </w:r>
      <w:r w:rsidRPr="00E03A6B">
        <w:rPr>
          <w:rFonts w:eastAsia="Times New Roman" w:cs="Sans Serif Collection"/>
          <w:b/>
          <w:spacing w:val="0"/>
        </w:rPr>
        <w:t xml:space="preserve">Common Principles in Applying Federal Personnel Vetting Adjudicative Standards </w:t>
      </w:r>
      <w:r w:rsidRPr="00E03A6B">
        <w:rPr>
          <w:rFonts w:eastAsia="Times New Roman" w:cs="Sans Serif Collection"/>
          <w:spacing w:val="0"/>
        </w:rPr>
        <w:t>(Common Principles), t</w:t>
      </w:r>
      <w:r w:rsidRPr="00E03A6B">
        <w:rPr>
          <w:rFonts w:eastAsia="Times New Roman" w:cs="Times New Roman"/>
          <w:spacing w:val="0"/>
        </w:rPr>
        <w:t>rust determinations are to be made in the following sequence:</w:t>
      </w:r>
    </w:p>
    <w:p w14:paraId="17263749" w14:textId="467B0795" w:rsidR="00DB0835" w:rsidRPr="00E03A6B" w:rsidRDefault="00DB0835" w:rsidP="00A06D8B">
      <w:pPr>
        <w:numPr>
          <w:ilvl w:val="3"/>
          <w:numId w:val="13"/>
        </w:numPr>
        <w:spacing w:after="0"/>
        <w:ind w:left="720"/>
        <w:rPr>
          <w:rFonts w:eastAsia="Times New Roman" w:cs="Times New Roman"/>
          <w:spacing w:val="0"/>
        </w:rPr>
      </w:pPr>
      <w:r w:rsidRPr="00E03A6B">
        <w:rPr>
          <w:rFonts w:eastAsia="Times New Roman" w:cs="Times New Roman"/>
          <w:spacing w:val="0"/>
        </w:rPr>
        <w:t>Suitability or fitness determination, if applicable</w:t>
      </w:r>
      <w:r w:rsidR="00624285">
        <w:rPr>
          <w:rFonts w:eastAsia="Times New Roman" w:cs="Times New Roman"/>
          <w:spacing w:val="0"/>
        </w:rPr>
        <w:t>.</w:t>
      </w:r>
    </w:p>
    <w:p w14:paraId="3023A0B8" w14:textId="139E1214" w:rsidR="00DB0835" w:rsidRPr="00E03A6B" w:rsidRDefault="00DB0835" w:rsidP="00A06D8B">
      <w:pPr>
        <w:numPr>
          <w:ilvl w:val="3"/>
          <w:numId w:val="13"/>
        </w:numPr>
        <w:spacing w:after="0"/>
        <w:ind w:left="720"/>
        <w:rPr>
          <w:rFonts w:eastAsia="Times New Roman" w:cs="Times New Roman"/>
          <w:spacing w:val="0"/>
        </w:rPr>
      </w:pPr>
      <w:r w:rsidRPr="00E03A6B">
        <w:rPr>
          <w:rFonts w:eastAsia="Times New Roman" w:cs="Times New Roman"/>
          <w:spacing w:val="0"/>
        </w:rPr>
        <w:t>National security trust determination, if applicable</w:t>
      </w:r>
      <w:r w:rsidR="00624285">
        <w:rPr>
          <w:rFonts w:eastAsia="Times New Roman" w:cs="Times New Roman"/>
          <w:spacing w:val="0"/>
        </w:rPr>
        <w:t>.</w:t>
      </w:r>
    </w:p>
    <w:p w14:paraId="61D98B55" w14:textId="5C51339D" w:rsidR="00DB0835" w:rsidRPr="00E03A6B" w:rsidRDefault="00DB0835" w:rsidP="00A06D8B">
      <w:pPr>
        <w:numPr>
          <w:ilvl w:val="3"/>
          <w:numId w:val="13"/>
        </w:numPr>
        <w:spacing w:after="0"/>
        <w:ind w:left="720"/>
        <w:rPr>
          <w:rFonts w:eastAsia="Times New Roman" w:cs="Times New Roman"/>
          <w:spacing w:val="0"/>
        </w:rPr>
      </w:pPr>
      <w:r w:rsidRPr="00E03A6B">
        <w:rPr>
          <w:rFonts w:eastAsia="Times New Roman" w:cs="Times New Roman"/>
          <w:spacing w:val="0"/>
        </w:rPr>
        <w:t>Credentialing trust determination, if needed. Note, individuals adjudicated favorably for suitability, fitness, or national security are eligible for a credential without a separate determination; however</w:t>
      </w:r>
      <w:r w:rsidR="007E23CF" w:rsidRPr="00E03A6B">
        <w:rPr>
          <w:rFonts w:eastAsia="Times New Roman" w:cs="Times New Roman"/>
          <w:spacing w:val="0"/>
        </w:rPr>
        <w:t>,</w:t>
      </w:r>
      <w:r w:rsidRPr="00E03A6B">
        <w:rPr>
          <w:rFonts w:eastAsia="Times New Roman" w:cs="Times New Roman"/>
          <w:spacing w:val="0"/>
        </w:rPr>
        <w:t xml:space="preserve"> the credential trust determination and issuance must also be recorded in the Federal personnel vetting record. </w:t>
      </w:r>
    </w:p>
    <w:p w14:paraId="71C32992" w14:textId="77777777" w:rsidR="00DB0835" w:rsidRPr="00E03A6B" w:rsidRDefault="00DB0835" w:rsidP="00E3461B">
      <w:pPr>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eastAsia="Times New Roman" w:cs="Times New Roman"/>
          <w:spacing w:val="0"/>
        </w:rPr>
      </w:pPr>
    </w:p>
    <w:p w14:paraId="671EC33E" w14:textId="4C3133B5" w:rsidR="00DB0835" w:rsidRPr="00E03A6B" w:rsidRDefault="00DB0835" w:rsidP="00E03A6B">
      <w:pPr>
        <w:rPr>
          <w:rFonts w:eastAsia="Times New Roman" w:cs="Times New Roman"/>
          <w:spacing w:val="0"/>
        </w:rPr>
      </w:pPr>
      <w:r w:rsidRPr="00E03A6B">
        <w:rPr>
          <w:rFonts w:eastAsia="Times New Roman" w:cs="Times New Roman"/>
          <w:spacing w:val="0"/>
        </w:rPr>
        <w:t xml:space="preserve">Regardless of position risk or sensitivity designation, suitability determinations are required for </w:t>
      </w:r>
      <w:r w:rsidRPr="00E03A6B">
        <w:rPr>
          <w:rFonts w:eastAsia="Times New Roman" w:cs="Times New Roman"/>
          <w:spacing w:val="0"/>
          <w:u w:val="single"/>
        </w:rPr>
        <w:t>all</w:t>
      </w:r>
      <w:r w:rsidRPr="00E03A6B">
        <w:rPr>
          <w:rFonts w:eastAsia="Times New Roman" w:cs="Times New Roman"/>
          <w:spacing w:val="0"/>
        </w:rPr>
        <w:t xml:space="preserve"> positions in the competitive service, positions in the excepted service that may non-competitively convert to the competitive service, and career appointments to the Senior Executive Service and fitness determinations must be made for each appointment in the </w:t>
      </w:r>
      <w:r w:rsidRPr="00E03A6B">
        <w:rPr>
          <w:rFonts w:eastAsia="Times New Roman" w:cs="Times New Roman"/>
          <w:spacing w:val="0"/>
        </w:rPr>
        <w:lastRenderedPageBreak/>
        <w:t xml:space="preserve">excepted service. When a person has a prior favorable suitability or fitness determination, an agency must determine if it can be reciprocally accepted (see </w:t>
      </w:r>
      <w:hyperlink w:anchor="_1.3_–_Reciprocity">
        <w:r w:rsidR="7268BB2A" w:rsidRPr="2AEFA46C">
          <w:rPr>
            <w:rStyle w:val="Hyperlink"/>
            <w:rFonts w:eastAsia="Times New Roman" w:cs="Times New Roman"/>
          </w:rPr>
          <w:t>Volume 1</w:t>
        </w:r>
      </w:hyperlink>
      <w:r w:rsidRPr="00E03A6B">
        <w:rPr>
          <w:rFonts w:eastAsia="Times New Roman" w:cs="Times New Roman"/>
          <w:spacing w:val="0"/>
        </w:rPr>
        <w:t xml:space="preserve">). </w:t>
      </w:r>
    </w:p>
    <w:p w14:paraId="689E4DCC" w14:textId="5B784104" w:rsidR="00DB0835" w:rsidRPr="000A7F6F" w:rsidRDefault="00250B3A" w:rsidP="000A7F6F">
      <w:pPr>
        <w:pStyle w:val="Heading2"/>
        <w:rPr>
          <w:rStyle w:val="normaltextrun"/>
        </w:rPr>
      </w:pPr>
      <w:bookmarkStart w:id="34" w:name="_2.3_–_Exceptions"/>
      <w:bookmarkStart w:id="35" w:name="_Toc187052939"/>
      <w:bookmarkStart w:id="36" w:name="_Toc187924137"/>
      <w:bookmarkStart w:id="37" w:name="_Hlk185586263"/>
      <w:bookmarkEnd w:id="34"/>
      <w:r w:rsidRPr="36A80A07">
        <w:rPr>
          <w:rStyle w:val="normaltextrun"/>
        </w:rPr>
        <w:t>2.3</w:t>
      </w:r>
      <w:r w:rsidR="00DB0835" w:rsidRPr="36A80A07">
        <w:rPr>
          <w:rStyle w:val="normaltextrun"/>
        </w:rPr>
        <w:t xml:space="preserve"> – Exceptions</w:t>
      </w:r>
      <w:bookmarkEnd w:id="35"/>
      <w:bookmarkEnd w:id="36"/>
    </w:p>
    <w:bookmarkEnd w:id="37"/>
    <w:p w14:paraId="1EA11532" w14:textId="530EB797" w:rsidR="00DB0835" w:rsidRPr="00E03A6B" w:rsidRDefault="00DB0835" w:rsidP="001A3303">
      <w:pPr>
        <w:rPr>
          <w:rFonts w:eastAsia="Times New Roman" w:cs="Times New Roman"/>
          <w:spacing w:val="0"/>
        </w:rPr>
      </w:pPr>
      <w:r w:rsidRPr="00E03A6B">
        <w:rPr>
          <w:rFonts w:eastAsia="Times New Roman" w:cs="Times New Roman"/>
          <w:spacing w:val="0"/>
        </w:rPr>
        <w:t>Agencies must reciprocally accept favorable suitability or fitness determinations in accordance with th</w:t>
      </w:r>
      <w:r w:rsidR="00250B3A" w:rsidRPr="00E03A6B">
        <w:rPr>
          <w:rFonts w:eastAsia="Times New Roman" w:cs="Times New Roman"/>
          <w:spacing w:val="0"/>
        </w:rPr>
        <w:t>e</w:t>
      </w:r>
      <w:r w:rsidRPr="00E03A6B">
        <w:rPr>
          <w:rFonts w:eastAsia="Times New Roman" w:cs="Times New Roman"/>
          <w:spacing w:val="0"/>
        </w:rPr>
        <w:t xml:space="preserve"> guidance </w:t>
      </w:r>
      <w:r w:rsidR="00250B3A" w:rsidRPr="00E03A6B">
        <w:rPr>
          <w:rFonts w:eastAsia="Times New Roman" w:cs="Times New Roman"/>
          <w:spacing w:val="0"/>
        </w:rPr>
        <w:t xml:space="preserve">provided in </w:t>
      </w:r>
      <w:hyperlink w:anchor="_1.2_3_–" w:history="1">
        <w:r w:rsidR="00250B3A" w:rsidRPr="00BB203C">
          <w:rPr>
            <w:rStyle w:val="Hyperlink"/>
            <w:rFonts w:eastAsia="Times New Roman" w:cs="Times New Roman"/>
            <w:spacing w:val="0"/>
          </w:rPr>
          <w:t>Volume 1</w:t>
        </w:r>
      </w:hyperlink>
      <w:r w:rsidR="00250B3A" w:rsidRPr="00E03A6B">
        <w:rPr>
          <w:rFonts w:eastAsia="Times New Roman" w:cs="Times New Roman"/>
          <w:spacing w:val="0"/>
        </w:rPr>
        <w:t xml:space="preserve"> of this Manual </w:t>
      </w:r>
      <w:r w:rsidRPr="00E03A6B">
        <w:rPr>
          <w:rFonts w:eastAsia="Times New Roman" w:cs="Times New Roman"/>
          <w:spacing w:val="0"/>
        </w:rPr>
        <w:t>but are not required to apply reciprocity to determinations when there is an exception. Exceptions may apply when an agency makes a risk-based decision to bring an individual onboard who may otherwise be found unsuitable or unfit</w:t>
      </w:r>
      <w:r w:rsidR="00250B3A" w:rsidRPr="00E03A6B">
        <w:rPr>
          <w:rFonts w:eastAsia="Times New Roman" w:cs="Times New Roman"/>
          <w:spacing w:val="0"/>
        </w:rPr>
        <w:t xml:space="preserve">, in accordance with the process outlined in </w:t>
      </w:r>
      <w:hyperlink w:anchor="_3.5_–_Suitability" w:history="1">
        <w:r w:rsidR="00250B3A" w:rsidRPr="00AD7451">
          <w:rPr>
            <w:rStyle w:val="Hyperlink"/>
            <w:rFonts w:eastAsia="Times New Roman" w:cs="Times New Roman"/>
            <w:spacing w:val="0"/>
          </w:rPr>
          <w:t>Volume 3</w:t>
        </w:r>
      </w:hyperlink>
      <w:r w:rsidR="00250B3A" w:rsidRPr="00E03A6B">
        <w:rPr>
          <w:rFonts w:eastAsia="Times New Roman" w:cs="Times New Roman"/>
          <w:spacing w:val="0"/>
        </w:rPr>
        <w:t xml:space="preserve"> of this Manual,</w:t>
      </w:r>
      <w:r w:rsidRPr="00E03A6B">
        <w:rPr>
          <w:rFonts w:eastAsia="Times New Roman" w:cs="Times New Roman"/>
          <w:spacing w:val="0"/>
        </w:rPr>
        <w:t xml:space="preserve"> or for whom the agency may not have sufficient information to determine if they are suitable or fit. For example, the individual was previously terminated from an employment on the basis of misconduct. They have filed an appeal of the termination, disputing the misconduct. The misconduct, if proven, would be a basis for finding the person unsuitable or unfit, but because it is under dispute, the agency cannot make a finding of suitability or fitness. In this case, they may decide to bring the individual onboard with an exception. Once the litigation is resolved, the agency could reassess and adjudicate, as appropriate.</w:t>
      </w:r>
    </w:p>
    <w:p w14:paraId="21396784" w14:textId="32AC98BD" w:rsidR="00DB0835" w:rsidRPr="00E03A6B" w:rsidRDefault="00DB0835" w:rsidP="001A3303">
      <w:pPr>
        <w:spacing w:after="60"/>
        <w:rPr>
          <w:rFonts w:eastAsia="Times New Roman" w:cs="Times New Roman"/>
          <w:spacing w:val="0"/>
        </w:rPr>
      </w:pPr>
      <w:r w:rsidRPr="00E03A6B">
        <w:rPr>
          <w:rFonts w:eastAsia="Times New Roman" w:cs="Times New Roman"/>
          <w:spacing w:val="0"/>
        </w:rPr>
        <w:t>The Common Principles provides requirements for reporting exceptions. There are two options for reporting suitability/fitness</w:t>
      </w:r>
      <w:r w:rsidR="00B66CF9">
        <w:rPr>
          <w:rFonts w:eastAsia="Times New Roman" w:cs="Times New Roman"/>
          <w:spacing w:val="0"/>
        </w:rPr>
        <w:t xml:space="preserve"> exceptions</w:t>
      </w:r>
      <w:r w:rsidRPr="00E03A6B">
        <w:rPr>
          <w:rFonts w:eastAsia="Times New Roman" w:cs="Times New Roman"/>
          <w:spacing w:val="0"/>
        </w:rPr>
        <w:t>.</w:t>
      </w:r>
    </w:p>
    <w:p w14:paraId="1C454DB9" w14:textId="17EFB40A" w:rsidR="00DB0835" w:rsidRPr="00E03A6B" w:rsidRDefault="00DB0835" w:rsidP="00A06D8B">
      <w:pPr>
        <w:pStyle w:val="ListParagraph"/>
        <w:numPr>
          <w:ilvl w:val="0"/>
          <w:numId w:val="20"/>
        </w:numPr>
        <w:spacing w:after="0"/>
        <w:rPr>
          <w:rFonts w:eastAsia="Times New Roman" w:cs="Times New Roman"/>
          <w:spacing w:val="0"/>
        </w:rPr>
      </w:pPr>
      <w:r w:rsidRPr="00E03A6B">
        <w:rPr>
          <w:rFonts w:eastAsia="Times New Roman" w:cs="Times New Roman"/>
          <w:spacing w:val="0"/>
          <w:u w:val="single"/>
        </w:rPr>
        <w:t>Favorable-5 C</w:t>
      </w:r>
      <w:r w:rsidR="00B66CF9">
        <w:rPr>
          <w:rFonts w:eastAsia="Times New Roman" w:cs="Times New Roman"/>
          <w:spacing w:val="0"/>
          <w:u w:val="single"/>
        </w:rPr>
        <w:t>.</w:t>
      </w:r>
      <w:r w:rsidRPr="00E03A6B">
        <w:rPr>
          <w:rFonts w:eastAsia="Times New Roman" w:cs="Times New Roman"/>
          <w:spacing w:val="0"/>
          <w:u w:val="single"/>
        </w:rPr>
        <w:t>F</w:t>
      </w:r>
      <w:r w:rsidR="00B66CF9">
        <w:rPr>
          <w:rFonts w:eastAsia="Times New Roman" w:cs="Times New Roman"/>
          <w:spacing w:val="0"/>
          <w:u w:val="single"/>
        </w:rPr>
        <w:t>.</w:t>
      </w:r>
      <w:r w:rsidRPr="00E03A6B">
        <w:rPr>
          <w:rFonts w:eastAsia="Times New Roman" w:cs="Times New Roman"/>
          <w:spacing w:val="0"/>
          <w:u w:val="single"/>
        </w:rPr>
        <w:t>R</w:t>
      </w:r>
      <w:r w:rsidR="00B66CF9">
        <w:rPr>
          <w:rFonts w:eastAsia="Times New Roman" w:cs="Times New Roman"/>
          <w:spacing w:val="0"/>
          <w:u w:val="single"/>
        </w:rPr>
        <w:t>.</w:t>
      </w:r>
      <w:r w:rsidRPr="00E03A6B">
        <w:rPr>
          <w:rFonts w:eastAsia="Times New Roman" w:cs="Times New Roman"/>
          <w:spacing w:val="0"/>
          <w:u w:val="single"/>
        </w:rPr>
        <w:t xml:space="preserve"> </w:t>
      </w:r>
      <w:r w:rsidR="003C26BF">
        <w:rPr>
          <w:rFonts w:eastAsia="Times New Roman" w:cs="Times New Roman"/>
          <w:spacing w:val="0"/>
          <w:u w:val="single"/>
        </w:rPr>
        <w:t xml:space="preserve">part </w:t>
      </w:r>
      <w:r w:rsidRPr="00E03A6B">
        <w:rPr>
          <w:rFonts w:eastAsia="Times New Roman" w:cs="Times New Roman"/>
          <w:spacing w:val="0"/>
          <w:u w:val="single"/>
        </w:rPr>
        <w:t>731 or equivalent do not apply.</w:t>
      </w:r>
      <w:r w:rsidRPr="00E03A6B">
        <w:rPr>
          <w:rFonts w:eastAsia="Times New Roman" w:cs="Times New Roman"/>
          <w:spacing w:val="0"/>
        </w:rPr>
        <w:t xml:space="preserve"> This option is appropriate when issues would rend</w:t>
      </w:r>
      <w:r w:rsidR="00855252">
        <w:rPr>
          <w:rFonts w:eastAsia="Times New Roman" w:cs="Times New Roman"/>
          <w:spacing w:val="0"/>
        </w:rPr>
        <w:t>er</w:t>
      </w:r>
      <w:r w:rsidRPr="00E03A6B">
        <w:rPr>
          <w:rFonts w:eastAsia="Times New Roman" w:cs="Times New Roman"/>
          <w:spacing w:val="0"/>
        </w:rPr>
        <w:t xml:space="preserve"> the individual unsuitable or unfit under the adjudicative criteria in 5 C</w:t>
      </w:r>
      <w:r w:rsidR="00B66CF9">
        <w:rPr>
          <w:rFonts w:eastAsia="Times New Roman" w:cs="Times New Roman"/>
          <w:spacing w:val="0"/>
        </w:rPr>
        <w:t>.</w:t>
      </w:r>
      <w:r w:rsidRPr="00E03A6B">
        <w:rPr>
          <w:rFonts w:eastAsia="Times New Roman" w:cs="Times New Roman"/>
          <w:spacing w:val="0"/>
        </w:rPr>
        <w:t>F</w:t>
      </w:r>
      <w:r w:rsidR="00B66CF9">
        <w:rPr>
          <w:rFonts w:eastAsia="Times New Roman" w:cs="Times New Roman"/>
          <w:spacing w:val="0"/>
        </w:rPr>
        <w:t>.</w:t>
      </w:r>
      <w:r w:rsidRPr="00E03A6B">
        <w:rPr>
          <w:rFonts w:eastAsia="Times New Roman" w:cs="Times New Roman"/>
          <w:spacing w:val="0"/>
        </w:rPr>
        <w:t>R</w:t>
      </w:r>
      <w:r w:rsidR="00B66CF9">
        <w:rPr>
          <w:rFonts w:eastAsia="Times New Roman" w:cs="Times New Roman"/>
          <w:spacing w:val="0"/>
        </w:rPr>
        <w:t>.</w:t>
      </w:r>
      <w:r w:rsidR="003C26BF">
        <w:rPr>
          <w:rFonts w:eastAsia="Times New Roman" w:cs="Times New Roman"/>
          <w:spacing w:val="0"/>
        </w:rPr>
        <w:t xml:space="preserve"> part</w:t>
      </w:r>
      <w:r w:rsidRPr="00E03A6B">
        <w:rPr>
          <w:rFonts w:eastAsia="Times New Roman" w:cs="Times New Roman"/>
          <w:spacing w:val="0"/>
        </w:rPr>
        <w:t xml:space="preserve"> 731, but the agency decides to accept the risk and make a favorable determination. This option is also appropriate when the investigation does not meet standards, but the agency decides to make a favorable determination using the results.</w:t>
      </w:r>
    </w:p>
    <w:p w14:paraId="363B9F94" w14:textId="2FD01036" w:rsidR="001F7E35" w:rsidRPr="00E03A6B" w:rsidRDefault="00DB0835" w:rsidP="00A06D8B">
      <w:pPr>
        <w:pStyle w:val="ListParagraph"/>
        <w:numPr>
          <w:ilvl w:val="0"/>
          <w:numId w:val="20"/>
        </w:numPr>
        <w:contextualSpacing w:val="0"/>
        <w:rPr>
          <w:rFonts w:eastAsia="Times New Roman" w:cs="Times New Roman"/>
          <w:spacing w:val="0"/>
        </w:rPr>
      </w:pPr>
      <w:r w:rsidRPr="00E03A6B">
        <w:rPr>
          <w:rFonts w:eastAsia="Times New Roman" w:cs="Times New Roman"/>
          <w:spacing w:val="0"/>
          <w:u w:val="single"/>
        </w:rPr>
        <w:t>Letter of counseling/advisement/warning.</w:t>
      </w:r>
      <w:r w:rsidRPr="00E03A6B">
        <w:rPr>
          <w:rFonts w:eastAsia="Times New Roman" w:cs="Times New Roman"/>
          <w:spacing w:val="0"/>
        </w:rPr>
        <w:t xml:space="preserve"> If the agency determines a warning with regard to conduct is appropriate, but the individual is entered on duty or remains on duty, this option is appropriate.</w:t>
      </w:r>
    </w:p>
    <w:p w14:paraId="2F0EAF82" w14:textId="29F888E5" w:rsidR="00250B3A" w:rsidRPr="00E03A6B" w:rsidRDefault="00250B3A" w:rsidP="001A3303">
      <w:r w:rsidRPr="00E03A6B">
        <w:t>Trust determinations with exceptions must be reported to the government</w:t>
      </w:r>
      <w:r w:rsidR="00BB21FA">
        <w:t>-</w:t>
      </w:r>
      <w:r w:rsidRPr="00E03A6B">
        <w:t>wide repository(ies).</w:t>
      </w:r>
    </w:p>
    <w:p w14:paraId="13114A8D" w14:textId="725F666E" w:rsidR="00250B3A" w:rsidRDefault="00250B3A">
      <w:pPr>
        <w:spacing w:after="160" w:line="259" w:lineRule="auto"/>
        <w:rPr>
          <w:rFonts w:ascii="Source Sans Pro" w:eastAsia="Times New Roman" w:hAnsi="Source Sans Pro" w:cs="Times New Roman"/>
          <w:spacing w:val="0"/>
        </w:rPr>
      </w:pPr>
      <w:r>
        <w:rPr>
          <w:rFonts w:ascii="Source Sans Pro" w:eastAsia="Times New Roman" w:hAnsi="Source Sans Pro" w:cs="Times New Roman"/>
          <w:spacing w:val="0"/>
        </w:rPr>
        <w:br w:type="page"/>
      </w:r>
    </w:p>
    <w:p w14:paraId="0CCE7098" w14:textId="13400069" w:rsidR="00EA1EA7" w:rsidRPr="00727F07" w:rsidRDefault="00EA1EA7" w:rsidP="00E60300">
      <w:pPr>
        <w:pStyle w:val="H1"/>
      </w:pPr>
      <w:bookmarkStart w:id="38" w:name="_Toc187052940"/>
      <w:bookmarkStart w:id="39" w:name="_Toc187924138"/>
      <w:bookmarkStart w:id="40" w:name="_Hlk185594957"/>
      <w:r w:rsidRPr="00727F07">
        <w:lastRenderedPageBreak/>
        <w:t xml:space="preserve">Volume </w:t>
      </w:r>
      <w:r w:rsidR="00250B3A" w:rsidRPr="00727F07">
        <w:t>3</w:t>
      </w:r>
      <w:r w:rsidRPr="00727F07">
        <w:t>:</w:t>
      </w:r>
      <w:r w:rsidRPr="00727F07">
        <w:rPr>
          <w:spacing w:val="-15"/>
        </w:rPr>
        <w:t xml:space="preserve"> </w:t>
      </w:r>
      <w:r w:rsidRPr="00727F07">
        <w:rPr>
          <w:spacing w:val="-1"/>
        </w:rPr>
        <w:t xml:space="preserve"> </w:t>
      </w:r>
      <w:r w:rsidRPr="00727F07">
        <w:t>Factors, Additional Considerations, and the Determination Process</w:t>
      </w:r>
      <w:bookmarkEnd w:id="38"/>
      <w:bookmarkEnd w:id="39"/>
      <w:r w:rsidRPr="00727F07">
        <w:t xml:space="preserve"> </w:t>
      </w:r>
    </w:p>
    <w:p w14:paraId="5F54ED66" w14:textId="77777777" w:rsidR="00EA1EA7" w:rsidRPr="007A79DB" w:rsidRDefault="00EA1EA7" w:rsidP="00EE1FF1">
      <w:pPr>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Sans Serif Collection"/>
          <w:spacing w:val="0"/>
          <w:sz w:val="30"/>
          <w:szCs w:val="30"/>
        </w:rPr>
      </w:pPr>
    </w:p>
    <w:p w14:paraId="58244D6D" w14:textId="77777777" w:rsidR="00EA1EA7" w:rsidRPr="00727F07" w:rsidRDefault="00EA1EA7" w:rsidP="00F91545">
      <w:pPr>
        <w:widowControl w:val="0"/>
        <w:spacing w:after="0" w:line="240" w:lineRule="auto"/>
        <w:rPr>
          <w:rFonts w:ascii="Source Sans Pro" w:eastAsia="Arial Narrow" w:hAnsi="Source Sans Pro" w:cs="Arial Narrow"/>
          <w:b/>
          <w:bCs/>
          <w:spacing w:val="0"/>
          <w:sz w:val="30"/>
          <w:szCs w:val="30"/>
        </w:rPr>
      </w:pPr>
      <w:r w:rsidRPr="00727F07">
        <w:rPr>
          <w:rFonts w:ascii="Source Sans Pro" w:eastAsia="Arial Narrow" w:hAnsi="Source Sans Pro" w:cs="Arial Narrow"/>
          <w:b/>
          <w:bCs/>
          <w:spacing w:val="0"/>
          <w:sz w:val="30"/>
          <w:szCs w:val="30"/>
        </w:rPr>
        <w:t>Change Record</w:t>
      </w:r>
    </w:p>
    <w:p w14:paraId="03BB339B" w14:textId="77777777" w:rsidR="00EA1EA7" w:rsidRPr="00546742" w:rsidRDefault="00EA1EA7" w:rsidP="00EA1EA7">
      <w:pPr>
        <w:widowControl w:val="0"/>
        <w:spacing w:before="5" w:after="0" w:line="240" w:lineRule="auto"/>
        <w:rPr>
          <w:rFonts w:eastAsia="Arial Narrow" w:cs="Arial Narrow"/>
          <w:spacing w:val="0"/>
          <w:sz w:val="30"/>
          <w:szCs w:val="30"/>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1717"/>
        <w:gridCol w:w="5947"/>
      </w:tblGrid>
      <w:tr w:rsidR="00EA1EA7" w:rsidRPr="00727F07" w14:paraId="1B02BC31" w14:textId="77777777" w:rsidTr="005550DE">
        <w:tc>
          <w:tcPr>
            <w:tcW w:w="1781" w:type="dxa"/>
            <w:shd w:val="clear" w:color="auto" w:fill="auto"/>
          </w:tcPr>
          <w:p w14:paraId="3FB76F17" w14:textId="77777777" w:rsidR="00EA1EA7" w:rsidRPr="00727F07" w:rsidRDefault="00EA1EA7">
            <w:pPr>
              <w:widowControl w:val="0"/>
              <w:spacing w:before="5" w:after="0" w:line="240" w:lineRule="auto"/>
              <w:rPr>
                <w:rFonts w:ascii="Source Sans Pro" w:eastAsia="Arial Narrow" w:hAnsi="Source Sans Pro" w:cs="Arial Narrow"/>
                <w:b/>
                <w:bCs/>
                <w:spacing w:val="0"/>
                <w:sz w:val="30"/>
                <w:szCs w:val="30"/>
              </w:rPr>
            </w:pPr>
            <w:r w:rsidRPr="00727F07">
              <w:rPr>
                <w:rFonts w:ascii="Source Sans Pro" w:eastAsia="Arial Narrow" w:hAnsi="Source Sans Pro" w:cs="Arial Narrow"/>
                <w:b/>
                <w:bCs/>
                <w:spacing w:val="0"/>
                <w:sz w:val="30"/>
                <w:szCs w:val="30"/>
              </w:rPr>
              <w:t>Date</w:t>
            </w:r>
          </w:p>
        </w:tc>
        <w:tc>
          <w:tcPr>
            <w:tcW w:w="1717" w:type="dxa"/>
            <w:shd w:val="clear" w:color="auto" w:fill="auto"/>
          </w:tcPr>
          <w:p w14:paraId="7B2D9E84" w14:textId="671B8A31" w:rsidR="00EA1EA7" w:rsidRPr="00727F07" w:rsidRDefault="00EA1EA7">
            <w:pPr>
              <w:widowControl w:val="0"/>
              <w:spacing w:before="5" w:after="0" w:line="240" w:lineRule="auto"/>
              <w:rPr>
                <w:rFonts w:ascii="Source Sans Pro" w:eastAsia="Arial Narrow" w:hAnsi="Source Sans Pro" w:cs="Arial Narrow"/>
                <w:b/>
                <w:bCs/>
                <w:spacing w:val="0"/>
                <w:sz w:val="30"/>
                <w:szCs w:val="30"/>
              </w:rPr>
            </w:pPr>
            <w:r w:rsidRPr="00727F07">
              <w:rPr>
                <w:rFonts w:ascii="Source Sans Pro" w:eastAsia="Arial Narrow" w:hAnsi="Source Sans Pro" w:cs="Arial Narrow"/>
                <w:b/>
                <w:bCs/>
                <w:spacing w:val="0"/>
                <w:sz w:val="30"/>
                <w:szCs w:val="30"/>
              </w:rPr>
              <w:t>Page</w:t>
            </w:r>
            <w:r w:rsidR="006B4879">
              <w:rPr>
                <w:rFonts w:ascii="Source Sans Pro" w:eastAsia="Arial Narrow" w:hAnsi="Source Sans Pro" w:cs="Arial Narrow"/>
                <w:b/>
                <w:bCs/>
                <w:spacing w:val="0"/>
                <w:sz w:val="30"/>
                <w:szCs w:val="30"/>
              </w:rPr>
              <w:t>(s)</w:t>
            </w:r>
            <w:r w:rsidRPr="00727F07">
              <w:rPr>
                <w:rFonts w:ascii="Source Sans Pro" w:eastAsia="Arial Narrow" w:hAnsi="Source Sans Pro" w:cs="Arial Narrow"/>
                <w:b/>
                <w:bCs/>
                <w:spacing w:val="0"/>
                <w:sz w:val="30"/>
                <w:szCs w:val="30"/>
              </w:rPr>
              <w:t xml:space="preserve"> Affected</w:t>
            </w:r>
          </w:p>
        </w:tc>
        <w:tc>
          <w:tcPr>
            <w:tcW w:w="5947" w:type="dxa"/>
            <w:shd w:val="clear" w:color="auto" w:fill="auto"/>
          </w:tcPr>
          <w:p w14:paraId="20273401" w14:textId="7FFE218F" w:rsidR="00EA1EA7" w:rsidRPr="00727F07" w:rsidRDefault="00EA1EA7">
            <w:pPr>
              <w:widowControl w:val="0"/>
              <w:spacing w:before="5" w:after="0" w:line="240" w:lineRule="auto"/>
              <w:rPr>
                <w:rFonts w:ascii="Source Sans Pro" w:eastAsia="Arial Narrow" w:hAnsi="Source Sans Pro" w:cs="Arial Narrow"/>
                <w:b/>
                <w:bCs/>
                <w:spacing w:val="0"/>
                <w:sz w:val="30"/>
                <w:szCs w:val="30"/>
              </w:rPr>
            </w:pPr>
            <w:r w:rsidRPr="00727F07">
              <w:rPr>
                <w:rFonts w:ascii="Source Sans Pro" w:eastAsia="Arial Narrow" w:hAnsi="Source Sans Pro" w:cs="Arial Narrow"/>
                <w:b/>
                <w:bCs/>
                <w:spacing w:val="0"/>
                <w:sz w:val="30"/>
                <w:szCs w:val="30"/>
              </w:rPr>
              <w:t>Description of Revision</w:t>
            </w:r>
            <w:r w:rsidR="006B4879">
              <w:rPr>
                <w:rFonts w:ascii="Source Sans Pro" w:eastAsia="Arial Narrow" w:hAnsi="Source Sans Pro" w:cs="Arial Narrow"/>
                <w:b/>
                <w:bCs/>
                <w:spacing w:val="0"/>
                <w:sz w:val="30"/>
                <w:szCs w:val="30"/>
              </w:rPr>
              <w:t>(s)</w:t>
            </w:r>
          </w:p>
        </w:tc>
      </w:tr>
      <w:tr w:rsidR="00EA1EA7" w:rsidRPr="00727F07" w14:paraId="04804A43" w14:textId="77777777" w:rsidTr="005550DE">
        <w:tc>
          <w:tcPr>
            <w:tcW w:w="1781" w:type="dxa"/>
            <w:shd w:val="clear" w:color="auto" w:fill="auto"/>
          </w:tcPr>
          <w:p w14:paraId="52FA759F" w14:textId="77777777" w:rsidR="00EA1EA7" w:rsidRPr="005550DE" w:rsidRDefault="00EA1EA7">
            <w:pPr>
              <w:widowControl w:val="0"/>
              <w:spacing w:before="5" w:after="0" w:line="240" w:lineRule="auto"/>
              <w:rPr>
                <w:rFonts w:eastAsia="Arial Narrow" w:cs="Arial Narrow"/>
                <w:b/>
                <w:spacing w:val="0"/>
              </w:rPr>
            </w:pPr>
          </w:p>
        </w:tc>
        <w:tc>
          <w:tcPr>
            <w:tcW w:w="1717" w:type="dxa"/>
            <w:shd w:val="clear" w:color="auto" w:fill="auto"/>
          </w:tcPr>
          <w:p w14:paraId="6D7F3C16" w14:textId="77777777" w:rsidR="00EA1EA7" w:rsidRPr="005550DE" w:rsidRDefault="00EA1EA7">
            <w:pPr>
              <w:widowControl w:val="0"/>
              <w:spacing w:before="5" w:after="0" w:line="240" w:lineRule="auto"/>
              <w:rPr>
                <w:rFonts w:eastAsia="Arial Narrow" w:cs="Arial Narrow"/>
                <w:b/>
                <w:spacing w:val="0"/>
              </w:rPr>
            </w:pPr>
          </w:p>
        </w:tc>
        <w:tc>
          <w:tcPr>
            <w:tcW w:w="5947" w:type="dxa"/>
            <w:shd w:val="clear" w:color="auto" w:fill="auto"/>
          </w:tcPr>
          <w:p w14:paraId="45310457" w14:textId="77777777" w:rsidR="00EA1EA7" w:rsidRPr="005550DE" w:rsidRDefault="00EA1EA7">
            <w:pPr>
              <w:widowControl w:val="0"/>
              <w:spacing w:before="5" w:after="0" w:line="240" w:lineRule="auto"/>
              <w:rPr>
                <w:rFonts w:eastAsia="Arial Narrow" w:cs="Arial Narrow"/>
                <w:b/>
                <w:spacing w:val="0"/>
              </w:rPr>
            </w:pPr>
          </w:p>
        </w:tc>
      </w:tr>
      <w:tr w:rsidR="00EA1EA7" w:rsidRPr="00727F07" w14:paraId="38F67FD3" w14:textId="77777777" w:rsidTr="005550DE">
        <w:tc>
          <w:tcPr>
            <w:tcW w:w="1781" w:type="dxa"/>
            <w:shd w:val="clear" w:color="auto" w:fill="auto"/>
          </w:tcPr>
          <w:p w14:paraId="48AD98D9" w14:textId="77777777" w:rsidR="00EA1EA7" w:rsidRPr="005550DE" w:rsidRDefault="00EA1EA7">
            <w:pPr>
              <w:widowControl w:val="0"/>
              <w:spacing w:before="5" w:after="0" w:line="240" w:lineRule="auto"/>
              <w:rPr>
                <w:rFonts w:eastAsia="Arial Narrow" w:cs="Arial Narrow"/>
                <w:b/>
                <w:spacing w:val="0"/>
              </w:rPr>
            </w:pPr>
          </w:p>
        </w:tc>
        <w:tc>
          <w:tcPr>
            <w:tcW w:w="1717" w:type="dxa"/>
            <w:shd w:val="clear" w:color="auto" w:fill="auto"/>
          </w:tcPr>
          <w:p w14:paraId="46CD92A0" w14:textId="77777777" w:rsidR="00EA1EA7" w:rsidRPr="005550DE" w:rsidRDefault="00EA1EA7">
            <w:pPr>
              <w:widowControl w:val="0"/>
              <w:spacing w:before="5" w:after="0" w:line="240" w:lineRule="auto"/>
              <w:rPr>
                <w:rFonts w:eastAsia="Arial Narrow" w:cs="Arial Narrow"/>
                <w:b/>
                <w:spacing w:val="0"/>
              </w:rPr>
            </w:pPr>
          </w:p>
        </w:tc>
        <w:tc>
          <w:tcPr>
            <w:tcW w:w="5947" w:type="dxa"/>
            <w:shd w:val="clear" w:color="auto" w:fill="auto"/>
          </w:tcPr>
          <w:p w14:paraId="577EDD24" w14:textId="77777777" w:rsidR="00EA1EA7" w:rsidRPr="005550DE" w:rsidRDefault="00EA1EA7">
            <w:pPr>
              <w:widowControl w:val="0"/>
              <w:spacing w:before="5" w:after="0" w:line="240" w:lineRule="auto"/>
              <w:rPr>
                <w:rFonts w:eastAsia="Arial Narrow" w:cs="Arial Narrow"/>
                <w:b/>
                <w:spacing w:val="0"/>
              </w:rPr>
            </w:pPr>
          </w:p>
        </w:tc>
      </w:tr>
      <w:tr w:rsidR="00EA1EA7" w:rsidRPr="00727F07" w14:paraId="014DF6B5" w14:textId="77777777" w:rsidTr="005550DE">
        <w:tc>
          <w:tcPr>
            <w:tcW w:w="1781" w:type="dxa"/>
            <w:shd w:val="clear" w:color="auto" w:fill="auto"/>
          </w:tcPr>
          <w:p w14:paraId="6392A202" w14:textId="77777777" w:rsidR="00EA1EA7" w:rsidRPr="005550DE" w:rsidRDefault="00EA1EA7">
            <w:pPr>
              <w:widowControl w:val="0"/>
              <w:spacing w:before="5" w:after="0" w:line="240" w:lineRule="auto"/>
              <w:rPr>
                <w:rFonts w:eastAsia="Arial Narrow" w:cs="Arial Narrow"/>
                <w:b/>
                <w:spacing w:val="0"/>
              </w:rPr>
            </w:pPr>
          </w:p>
        </w:tc>
        <w:tc>
          <w:tcPr>
            <w:tcW w:w="1717" w:type="dxa"/>
            <w:shd w:val="clear" w:color="auto" w:fill="auto"/>
          </w:tcPr>
          <w:p w14:paraId="0B5E1733" w14:textId="77777777" w:rsidR="00EA1EA7" w:rsidRPr="005550DE" w:rsidRDefault="00EA1EA7">
            <w:pPr>
              <w:widowControl w:val="0"/>
              <w:spacing w:before="5" w:after="0" w:line="240" w:lineRule="auto"/>
              <w:rPr>
                <w:rFonts w:eastAsia="Arial Narrow" w:cs="Arial Narrow"/>
                <w:b/>
                <w:spacing w:val="0"/>
              </w:rPr>
            </w:pPr>
          </w:p>
        </w:tc>
        <w:tc>
          <w:tcPr>
            <w:tcW w:w="5947" w:type="dxa"/>
            <w:shd w:val="clear" w:color="auto" w:fill="auto"/>
          </w:tcPr>
          <w:p w14:paraId="33ACA54B" w14:textId="77777777" w:rsidR="00EA1EA7" w:rsidRPr="005550DE" w:rsidRDefault="00EA1EA7">
            <w:pPr>
              <w:widowControl w:val="0"/>
              <w:spacing w:before="5" w:after="0" w:line="240" w:lineRule="auto"/>
              <w:rPr>
                <w:rFonts w:eastAsia="Arial Narrow" w:cs="Arial Narrow"/>
                <w:b/>
                <w:spacing w:val="0"/>
              </w:rPr>
            </w:pPr>
          </w:p>
        </w:tc>
      </w:tr>
      <w:tr w:rsidR="00522580" w:rsidRPr="00727F07" w14:paraId="2A24F700" w14:textId="77777777" w:rsidTr="005550DE">
        <w:tc>
          <w:tcPr>
            <w:tcW w:w="1781" w:type="dxa"/>
            <w:shd w:val="clear" w:color="auto" w:fill="auto"/>
          </w:tcPr>
          <w:p w14:paraId="7DB79F1A" w14:textId="77777777" w:rsidR="00522580" w:rsidRPr="005550DE" w:rsidRDefault="00522580">
            <w:pPr>
              <w:widowControl w:val="0"/>
              <w:spacing w:before="5" w:after="0" w:line="240" w:lineRule="auto"/>
              <w:rPr>
                <w:rFonts w:eastAsia="Arial Narrow" w:cs="Arial Narrow"/>
                <w:b/>
                <w:spacing w:val="0"/>
              </w:rPr>
            </w:pPr>
          </w:p>
        </w:tc>
        <w:tc>
          <w:tcPr>
            <w:tcW w:w="1717" w:type="dxa"/>
            <w:shd w:val="clear" w:color="auto" w:fill="auto"/>
          </w:tcPr>
          <w:p w14:paraId="085FA5E1" w14:textId="77777777" w:rsidR="00522580" w:rsidRPr="005550DE" w:rsidRDefault="00522580">
            <w:pPr>
              <w:widowControl w:val="0"/>
              <w:spacing w:before="5" w:after="0" w:line="240" w:lineRule="auto"/>
              <w:rPr>
                <w:rFonts w:eastAsia="Arial Narrow" w:cs="Arial Narrow"/>
                <w:b/>
                <w:spacing w:val="0"/>
              </w:rPr>
            </w:pPr>
          </w:p>
        </w:tc>
        <w:tc>
          <w:tcPr>
            <w:tcW w:w="5947" w:type="dxa"/>
            <w:shd w:val="clear" w:color="auto" w:fill="auto"/>
          </w:tcPr>
          <w:p w14:paraId="586B5EE9" w14:textId="77777777" w:rsidR="00522580" w:rsidRPr="005550DE" w:rsidRDefault="00522580">
            <w:pPr>
              <w:widowControl w:val="0"/>
              <w:spacing w:before="5" w:after="0" w:line="240" w:lineRule="auto"/>
              <w:rPr>
                <w:rFonts w:eastAsia="Arial Narrow" w:cs="Arial Narrow"/>
                <w:b/>
                <w:spacing w:val="0"/>
              </w:rPr>
            </w:pPr>
          </w:p>
        </w:tc>
      </w:tr>
      <w:tr w:rsidR="00522580" w:rsidRPr="00727F07" w14:paraId="169C357D" w14:textId="77777777" w:rsidTr="005550DE">
        <w:tc>
          <w:tcPr>
            <w:tcW w:w="1781" w:type="dxa"/>
            <w:shd w:val="clear" w:color="auto" w:fill="auto"/>
          </w:tcPr>
          <w:p w14:paraId="7FC0275D" w14:textId="77777777" w:rsidR="00522580" w:rsidRPr="005550DE" w:rsidRDefault="00522580">
            <w:pPr>
              <w:widowControl w:val="0"/>
              <w:spacing w:before="5" w:after="0" w:line="240" w:lineRule="auto"/>
              <w:rPr>
                <w:rFonts w:eastAsia="Arial Narrow" w:cs="Arial Narrow"/>
                <w:b/>
                <w:spacing w:val="0"/>
              </w:rPr>
            </w:pPr>
          </w:p>
        </w:tc>
        <w:tc>
          <w:tcPr>
            <w:tcW w:w="1717" w:type="dxa"/>
            <w:shd w:val="clear" w:color="auto" w:fill="auto"/>
          </w:tcPr>
          <w:p w14:paraId="09B323D5" w14:textId="77777777" w:rsidR="00522580" w:rsidRPr="005550DE" w:rsidRDefault="00522580">
            <w:pPr>
              <w:widowControl w:val="0"/>
              <w:spacing w:before="5" w:after="0" w:line="240" w:lineRule="auto"/>
              <w:rPr>
                <w:rFonts w:eastAsia="Arial Narrow" w:cs="Arial Narrow"/>
                <w:b/>
                <w:spacing w:val="0"/>
              </w:rPr>
            </w:pPr>
          </w:p>
        </w:tc>
        <w:tc>
          <w:tcPr>
            <w:tcW w:w="5947" w:type="dxa"/>
            <w:shd w:val="clear" w:color="auto" w:fill="auto"/>
          </w:tcPr>
          <w:p w14:paraId="38725E66" w14:textId="77777777" w:rsidR="00522580" w:rsidRPr="005550DE" w:rsidRDefault="00522580">
            <w:pPr>
              <w:widowControl w:val="0"/>
              <w:spacing w:before="5" w:after="0" w:line="240" w:lineRule="auto"/>
              <w:rPr>
                <w:rFonts w:eastAsia="Arial Narrow" w:cs="Arial Narrow"/>
                <w:b/>
                <w:spacing w:val="0"/>
              </w:rPr>
            </w:pPr>
          </w:p>
        </w:tc>
      </w:tr>
      <w:tr w:rsidR="00522580" w:rsidRPr="00727F07" w14:paraId="5B90751E" w14:textId="77777777" w:rsidTr="005550DE">
        <w:tc>
          <w:tcPr>
            <w:tcW w:w="1781" w:type="dxa"/>
            <w:shd w:val="clear" w:color="auto" w:fill="auto"/>
          </w:tcPr>
          <w:p w14:paraId="2A5E6AD5" w14:textId="77777777" w:rsidR="00522580" w:rsidRPr="005550DE" w:rsidRDefault="00522580">
            <w:pPr>
              <w:widowControl w:val="0"/>
              <w:spacing w:before="5" w:after="0" w:line="240" w:lineRule="auto"/>
              <w:rPr>
                <w:rFonts w:eastAsia="Arial Narrow" w:cs="Arial Narrow"/>
                <w:b/>
                <w:spacing w:val="0"/>
              </w:rPr>
            </w:pPr>
          </w:p>
        </w:tc>
        <w:tc>
          <w:tcPr>
            <w:tcW w:w="1717" w:type="dxa"/>
            <w:shd w:val="clear" w:color="auto" w:fill="auto"/>
          </w:tcPr>
          <w:p w14:paraId="03353B62" w14:textId="77777777" w:rsidR="00522580" w:rsidRPr="005550DE" w:rsidRDefault="00522580">
            <w:pPr>
              <w:widowControl w:val="0"/>
              <w:spacing w:before="5" w:after="0" w:line="240" w:lineRule="auto"/>
              <w:rPr>
                <w:rFonts w:eastAsia="Arial Narrow" w:cs="Arial Narrow"/>
                <w:b/>
                <w:spacing w:val="0"/>
              </w:rPr>
            </w:pPr>
          </w:p>
        </w:tc>
        <w:tc>
          <w:tcPr>
            <w:tcW w:w="5947" w:type="dxa"/>
            <w:shd w:val="clear" w:color="auto" w:fill="auto"/>
          </w:tcPr>
          <w:p w14:paraId="2C33D573" w14:textId="77777777" w:rsidR="00522580" w:rsidRPr="005550DE" w:rsidRDefault="00522580">
            <w:pPr>
              <w:widowControl w:val="0"/>
              <w:spacing w:before="5" w:after="0" w:line="240" w:lineRule="auto"/>
              <w:rPr>
                <w:rFonts w:eastAsia="Arial Narrow" w:cs="Arial Narrow"/>
                <w:b/>
                <w:spacing w:val="0"/>
              </w:rPr>
            </w:pPr>
          </w:p>
        </w:tc>
      </w:tr>
      <w:tr w:rsidR="00EA1EA7" w:rsidRPr="00727F07" w14:paraId="33FFD13D" w14:textId="77777777" w:rsidTr="005550DE">
        <w:tc>
          <w:tcPr>
            <w:tcW w:w="1781" w:type="dxa"/>
            <w:shd w:val="clear" w:color="auto" w:fill="auto"/>
          </w:tcPr>
          <w:p w14:paraId="26FE23AB" w14:textId="77777777" w:rsidR="00EA1EA7" w:rsidRPr="005550DE" w:rsidRDefault="00EA1EA7">
            <w:pPr>
              <w:widowControl w:val="0"/>
              <w:spacing w:before="5" w:after="0" w:line="240" w:lineRule="auto"/>
              <w:rPr>
                <w:rFonts w:eastAsia="Arial Narrow" w:cs="Arial Narrow"/>
                <w:b/>
                <w:spacing w:val="0"/>
              </w:rPr>
            </w:pPr>
          </w:p>
        </w:tc>
        <w:tc>
          <w:tcPr>
            <w:tcW w:w="1717" w:type="dxa"/>
            <w:shd w:val="clear" w:color="auto" w:fill="auto"/>
          </w:tcPr>
          <w:p w14:paraId="7EAB2D83" w14:textId="77777777" w:rsidR="00EA1EA7" w:rsidRPr="005550DE" w:rsidRDefault="00EA1EA7">
            <w:pPr>
              <w:widowControl w:val="0"/>
              <w:spacing w:before="5" w:after="0" w:line="240" w:lineRule="auto"/>
              <w:rPr>
                <w:rFonts w:eastAsia="Arial Narrow" w:cs="Arial Narrow"/>
                <w:b/>
                <w:spacing w:val="0"/>
              </w:rPr>
            </w:pPr>
          </w:p>
        </w:tc>
        <w:tc>
          <w:tcPr>
            <w:tcW w:w="5947" w:type="dxa"/>
            <w:shd w:val="clear" w:color="auto" w:fill="auto"/>
          </w:tcPr>
          <w:p w14:paraId="07FDF07E" w14:textId="77777777" w:rsidR="00EA1EA7" w:rsidRPr="005550DE" w:rsidRDefault="00EA1EA7">
            <w:pPr>
              <w:widowControl w:val="0"/>
              <w:spacing w:before="5" w:after="0" w:line="240" w:lineRule="auto"/>
              <w:rPr>
                <w:rFonts w:eastAsia="Arial Narrow" w:cs="Arial Narrow"/>
                <w:b/>
                <w:spacing w:val="0"/>
              </w:rPr>
            </w:pPr>
          </w:p>
        </w:tc>
      </w:tr>
      <w:tr w:rsidR="00EA1EA7" w:rsidRPr="00727F07" w14:paraId="690A92DB" w14:textId="77777777" w:rsidTr="005550DE">
        <w:tc>
          <w:tcPr>
            <w:tcW w:w="1781" w:type="dxa"/>
            <w:shd w:val="clear" w:color="auto" w:fill="auto"/>
          </w:tcPr>
          <w:p w14:paraId="780AE53A" w14:textId="77777777" w:rsidR="00EA1EA7" w:rsidRPr="005550DE" w:rsidRDefault="00EA1EA7">
            <w:pPr>
              <w:widowControl w:val="0"/>
              <w:spacing w:before="5" w:after="0" w:line="240" w:lineRule="auto"/>
              <w:rPr>
                <w:rFonts w:eastAsia="Arial Narrow" w:cs="Arial Narrow"/>
                <w:b/>
                <w:spacing w:val="0"/>
              </w:rPr>
            </w:pPr>
          </w:p>
        </w:tc>
        <w:tc>
          <w:tcPr>
            <w:tcW w:w="1717" w:type="dxa"/>
            <w:shd w:val="clear" w:color="auto" w:fill="auto"/>
          </w:tcPr>
          <w:p w14:paraId="5508DAA1" w14:textId="77777777" w:rsidR="00EA1EA7" w:rsidRPr="005550DE" w:rsidRDefault="00EA1EA7">
            <w:pPr>
              <w:widowControl w:val="0"/>
              <w:spacing w:before="5" w:after="0" w:line="240" w:lineRule="auto"/>
              <w:rPr>
                <w:rFonts w:eastAsia="Arial Narrow" w:cs="Arial Narrow"/>
                <w:b/>
                <w:spacing w:val="0"/>
              </w:rPr>
            </w:pPr>
          </w:p>
        </w:tc>
        <w:tc>
          <w:tcPr>
            <w:tcW w:w="5947" w:type="dxa"/>
            <w:shd w:val="clear" w:color="auto" w:fill="auto"/>
          </w:tcPr>
          <w:p w14:paraId="4FB8365E" w14:textId="77777777" w:rsidR="00EA1EA7" w:rsidRPr="005550DE" w:rsidRDefault="00EA1EA7">
            <w:pPr>
              <w:widowControl w:val="0"/>
              <w:spacing w:before="5" w:after="0" w:line="240" w:lineRule="auto"/>
              <w:rPr>
                <w:rFonts w:eastAsia="Arial Narrow" w:cs="Arial Narrow"/>
                <w:b/>
                <w:spacing w:val="0"/>
              </w:rPr>
            </w:pPr>
          </w:p>
        </w:tc>
      </w:tr>
      <w:tr w:rsidR="00EA1EA7" w:rsidRPr="00727F07" w14:paraId="4609B44F" w14:textId="77777777" w:rsidTr="005550DE">
        <w:tc>
          <w:tcPr>
            <w:tcW w:w="1781" w:type="dxa"/>
            <w:shd w:val="clear" w:color="auto" w:fill="auto"/>
          </w:tcPr>
          <w:p w14:paraId="55B0CC2D" w14:textId="77777777" w:rsidR="00EA1EA7" w:rsidRPr="005550DE" w:rsidRDefault="00EA1EA7">
            <w:pPr>
              <w:widowControl w:val="0"/>
              <w:spacing w:before="5" w:after="0" w:line="240" w:lineRule="auto"/>
              <w:rPr>
                <w:rFonts w:eastAsia="Arial Narrow" w:cs="Arial Narrow"/>
                <w:b/>
                <w:spacing w:val="0"/>
              </w:rPr>
            </w:pPr>
          </w:p>
        </w:tc>
        <w:tc>
          <w:tcPr>
            <w:tcW w:w="1717" w:type="dxa"/>
            <w:shd w:val="clear" w:color="auto" w:fill="auto"/>
          </w:tcPr>
          <w:p w14:paraId="7A95B469" w14:textId="77777777" w:rsidR="00EA1EA7" w:rsidRPr="005550DE" w:rsidRDefault="00EA1EA7">
            <w:pPr>
              <w:widowControl w:val="0"/>
              <w:spacing w:before="5" w:after="0" w:line="240" w:lineRule="auto"/>
              <w:rPr>
                <w:rFonts w:eastAsia="Arial Narrow" w:cs="Arial Narrow"/>
                <w:b/>
                <w:spacing w:val="0"/>
              </w:rPr>
            </w:pPr>
          </w:p>
        </w:tc>
        <w:tc>
          <w:tcPr>
            <w:tcW w:w="5947" w:type="dxa"/>
            <w:shd w:val="clear" w:color="auto" w:fill="auto"/>
          </w:tcPr>
          <w:p w14:paraId="5C3706B8" w14:textId="77777777" w:rsidR="00EA1EA7" w:rsidRPr="005550DE" w:rsidRDefault="00EA1EA7">
            <w:pPr>
              <w:widowControl w:val="0"/>
              <w:spacing w:before="5" w:after="0" w:line="240" w:lineRule="auto"/>
              <w:rPr>
                <w:rFonts w:eastAsia="Arial Narrow" w:cs="Arial Narrow"/>
                <w:b/>
                <w:spacing w:val="0"/>
              </w:rPr>
            </w:pPr>
          </w:p>
        </w:tc>
      </w:tr>
      <w:tr w:rsidR="00EA1EA7" w:rsidRPr="00727F07" w14:paraId="1BAA98A3" w14:textId="77777777" w:rsidTr="005550DE">
        <w:tc>
          <w:tcPr>
            <w:tcW w:w="1781" w:type="dxa"/>
            <w:shd w:val="clear" w:color="auto" w:fill="auto"/>
          </w:tcPr>
          <w:p w14:paraId="7D571103" w14:textId="77777777" w:rsidR="00EA1EA7" w:rsidRPr="005550DE" w:rsidRDefault="00EA1EA7">
            <w:pPr>
              <w:widowControl w:val="0"/>
              <w:spacing w:before="5" w:after="0" w:line="240" w:lineRule="auto"/>
              <w:rPr>
                <w:rFonts w:eastAsia="Arial Narrow" w:cs="Arial Narrow"/>
                <w:b/>
                <w:spacing w:val="0"/>
              </w:rPr>
            </w:pPr>
          </w:p>
        </w:tc>
        <w:tc>
          <w:tcPr>
            <w:tcW w:w="1717" w:type="dxa"/>
            <w:shd w:val="clear" w:color="auto" w:fill="auto"/>
          </w:tcPr>
          <w:p w14:paraId="1034A9E3" w14:textId="77777777" w:rsidR="00EA1EA7" w:rsidRPr="005550DE" w:rsidRDefault="00EA1EA7">
            <w:pPr>
              <w:widowControl w:val="0"/>
              <w:spacing w:before="5" w:after="0" w:line="240" w:lineRule="auto"/>
              <w:rPr>
                <w:rFonts w:eastAsia="Arial Narrow" w:cs="Arial Narrow"/>
                <w:b/>
                <w:spacing w:val="0"/>
              </w:rPr>
            </w:pPr>
          </w:p>
        </w:tc>
        <w:tc>
          <w:tcPr>
            <w:tcW w:w="5947" w:type="dxa"/>
            <w:shd w:val="clear" w:color="auto" w:fill="auto"/>
          </w:tcPr>
          <w:p w14:paraId="4F661E70" w14:textId="77777777" w:rsidR="00EA1EA7" w:rsidRPr="005550DE" w:rsidRDefault="00EA1EA7">
            <w:pPr>
              <w:widowControl w:val="0"/>
              <w:spacing w:before="5" w:after="0" w:line="240" w:lineRule="auto"/>
              <w:rPr>
                <w:rFonts w:eastAsia="Arial Narrow" w:cs="Arial Narrow"/>
                <w:b/>
                <w:spacing w:val="0"/>
              </w:rPr>
            </w:pPr>
          </w:p>
        </w:tc>
      </w:tr>
      <w:tr w:rsidR="00EA1EA7" w:rsidRPr="00727F07" w14:paraId="60F0F63F" w14:textId="77777777" w:rsidTr="005550DE">
        <w:tc>
          <w:tcPr>
            <w:tcW w:w="1781" w:type="dxa"/>
            <w:shd w:val="clear" w:color="auto" w:fill="auto"/>
          </w:tcPr>
          <w:p w14:paraId="7AAE78E8" w14:textId="77777777" w:rsidR="00EA1EA7" w:rsidRPr="005550DE" w:rsidRDefault="00EA1EA7">
            <w:pPr>
              <w:widowControl w:val="0"/>
              <w:spacing w:before="5" w:after="0" w:line="240" w:lineRule="auto"/>
              <w:rPr>
                <w:rFonts w:eastAsia="Arial Narrow" w:cs="Arial Narrow"/>
                <w:b/>
                <w:spacing w:val="0"/>
              </w:rPr>
            </w:pPr>
          </w:p>
        </w:tc>
        <w:tc>
          <w:tcPr>
            <w:tcW w:w="1717" w:type="dxa"/>
            <w:shd w:val="clear" w:color="auto" w:fill="auto"/>
          </w:tcPr>
          <w:p w14:paraId="1261585E" w14:textId="77777777" w:rsidR="00EA1EA7" w:rsidRPr="005550DE" w:rsidRDefault="00EA1EA7">
            <w:pPr>
              <w:widowControl w:val="0"/>
              <w:spacing w:before="5" w:after="0" w:line="240" w:lineRule="auto"/>
              <w:rPr>
                <w:rFonts w:eastAsia="Arial Narrow" w:cs="Arial Narrow"/>
                <w:b/>
                <w:spacing w:val="0"/>
              </w:rPr>
            </w:pPr>
          </w:p>
        </w:tc>
        <w:tc>
          <w:tcPr>
            <w:tcW w:w="5947" w:type="dxa"/>
            <w:shd w:val="clear" w:color="auto" w:fill="auto"/>
          </w:tcPr>
          <w:p w14:paraId="3B87B9D5" w14:textId="77777777" w:rsidR="00EA1EA7" w:rsidRPr="005550DE" w:rsidRDefault="00EA1EA7">
            <w:pPr>
              <w:widowControl w:val="0"/>
              <w:spacing w:before="5" w:after="0" w:line="240" w:lineRule="auto"/>
              <w:rPr>
                <w:rFonts w:eastAsia="Arial Narrow" w:cs="Arial Narrow"/>
                <w:b/>
                <w:spacing w:val="0"/>
              </w:rPr>
            </w:pPr>
          </w:p>
        </w:tc>
      </w:tr>
      <w:tr w:rsidR="00EA1EA7" w:rsidRPr="00727F07" w14:paraId="7D7087DB" w14:textId="77777777" w:rsidTr="005550DE">
        <w:tc>
          <w:tcPr>
            <w:tcW w:w="1781" w:type="dxa"/>
            <w:shd w:val="clear" w:color="auto" w:fill="auto"/>
          </w:tcPr>
          <w:p w14:paraId="1723AEDF" w14:textId="77777777" w:rsidR="00EA1EA7" w:rsidRPr="005550DE" w:rsidRDefault="00EA1EA7">
            <w:pPr>
              <w:widowControl w:val="0"/>
              <w:spacing w:before="5" w:after="0" w:line="240" w:lineRule="auto"/>
              <w:rPr>
                <w:rFonts w:eastAsia="Arial Narrow" w:cs="Arial Narrow"/>
                <w:b/>
                <w:spacing w:val="0"/>
              </w:rPr>
            </w:pPr>
          </w:p>
        </w:tc>
        <w:tc>
          <w:tcPr>
            <w:tcW w:w="1717" w:type="dxa"/>
            <w:shd w:val="clear" w:color="auto" w:fill="auto"/>
          </w:tcPr>
          <w:p w14:paraId="4EF86EA3" w14:textId="77777777" w:rsidR="00EA1EA7" w:rsidRPr="005550DE" w:rsidRDefault="00EA1EA7">
            <w:pPr>
              <w:widowControl w:val="0"/>
              <w:spacing w:before="5" w:after="0" w:line="240" w:lineRule="auto"/>
              <w:rPr>
                <w:rFonts w:eastAsia="Arial Narrow" w:cs="Arial Narrow"/>
                <w:b/>
                <w:spacing w:val="0"/>
              </w:rPr>
            </w:pPr>
          </w:p>
        </w:tc>
        <w:tc>
          <w:tcPr>
            <w:tcW w:w="5947" w:type="dxa"/>
            <w:shd w:val="clear" w:color="auto" w:fill="auto"/>
          </w:tcPr>
          <w:p w14:paraId="2BB943F3" w14:textId="77777777" w:rsidR="00EA1EA7" w:rsidRPr="005550DE" w:rsidRDefault="00EA1EA7">
            <w:pPr>
              <w:widowControl w:val="0"/>
              <w:spacing w:before="5" w:after="0" w:line="240" w:lineRule="auto"/>
              <w:rPr>
                <w:rFonts w:eastAsia="Arial Narrow" w:cs="Arial Narrow"/>
                <w:b/>
                <w:spacing w:val="0"/>
              </w:rPr>
            </w:pPr>
          </w:p>
        </w:tc>
      </w:tr>
      <w:tr w:rsidR="006B628A" w:rsidRPr="00727F07" w14:paraId="094D2238" w14:textId="77777777" w:rsidTr="005550DE">
        <w:tc>
          <w:tcPr>
            <w:tcW w:w="1781" w:type="dxa"/>
            <w:shd w:val="clear" w:color="auto" w:fill="auto"/>
          </w:tcPr>
          <w:p w14:paraId="5862AC80" w14:textId="77777777" w:rsidR="006B628A" w:rsidRPr="005550DE" w:rsidRDefault="006B628A">
            <w:pPr>
              <w:widowControl w:val="0"/>
              <w:spacing w:before="5" w:after="0" w:line="240" w:lineRule="auto"/>
              <w:rPr>
                <w:rFonts w:eastAsia="Arial Narrow" w:cs="Arial Narrow"/>
                <w:b/>
                <w:spacing w:val="0"/>
              </w:rPr>
            </w:pPr>
          </w:p>
        </w:tc>
        <w:tc>
          <w:tcPr>
            <w:tcW w:w="1717" w:type="dxa"/>
            <w:shd w:val="clear" w:color="auto" w:fill="auto"/>
          </w:tcPr>
          <w:p w14:paraId="5C8085B0" w14:textId="77777777" w:rsidR="006B628A" w:rsidRPr="005550DE" w:rsidRDefault="006B628A">
            <w:pPr>
              <w:widowControl w:val="0"/>
              <w:spacing w:before="5" w:after="0" w:line="240" w:lineRule="auto"/>
              <w:rPr>
                <w:rFonts w:eastAsia="Arial Narrow" w:cs="Arial Narrow"/>
                <w:b/>
                <w:spacing w:val="0"/>
              </w:rPr>
            </w:pPr>
          </w:p>
        </w:tc>
        <w:tc>
          <w:tcPr>
            <w:tcW w:w="5947" w:type="dxa"/>
            <w:shd w:val="clear" w:color="auto" w:fill="auto"/>
          </w:tcPr>
          <w:p w14:paraId="49958CF3" w14:textId="77777777" w:rsidR="006B628A" w:rsidRPr="005550DE" w:rsidRDefault="006B628A">
            <w:pPr>
              <w:widowControl w:val="0"/>
              <w:spacing w:before="5" w:after="0" w:line="240" w:lineRule="auto"/>
              <w:rPr>
                <w:rFonts w:eastAsia="Arial Narrow" w:cs="Arial Narrow"/>
                <w:b/>
                <w:spacing w:val="0"/>
              </w:rPr>
            </w:pPr>
          </w:p>
        </w:tc>
      </w:tr>
      <w:tr w:rsidR="006B628A" w:rsidRPr="00727F07" w14:paraId="5C920764" w14:textId="77777777" w:rsidTr="005550DE">
        <w:tc>
          <w:tcPr>
            <w:tcW w:w="1781" w:type="dxa"/>
            <w:shd w:val="clear" w:color="auto" w:fill="auto"/>
          </w:tcPr>
          <w:p w14:paraId="6F266CF2" w14:textId="77777777" w:rsidR="006B628A" w:rsidRPr="005550DE" w:rsidRDefault="006B628A">
            <w:pPr>
              <w:widowControl w:val="0"/>
              <w:spacing w:before="5" w:after="0" w:line="240" w:lineRule="auto"/>
              <w:rPr>
                <w:rFonts w:eastAsia="Arial Narrow" w:cs="Arial Narrow"/>
                <w:b/>
                <w:spacing w:val="0"/>
              </w:rPr>
            </w:pPr>
          </w:p>
        </w:tc>
        <w:tc>
          <w:tcPr>
            <w:tcW w:w="1717" w:type="dxa"/>
            <w:shd w:val="clear" w:color="auto" w:fill="auto"/>
          </w:tcPr>
          <w:p w14:paraId="302E7F5E" w14:textId="77777777" w:rsidR="006B628A" w:rsidRPr="005550DE" w:rsidRDefault="006B628A">
            <w:pPr>
              <w:widowControl w:val="0"/>
              <w:spacing w:before="5" w:after="0" w:line="240" w:lineRule="auto"/>
              <w:rPr>
                <w:rFonts w:eastAsia="Arial Narrow" w:cs="Arial Narrow"/>
                <w:b/>
                <w:spacing w:val="0"/>
              </w:rPr>
            </w:pPr>
          </w:p>
        </w:tc>
        <w:tc>
          <w:tcPr>
            <w:tcW w:w="5947" w:type="dxa"/>
            <w:shd w:val="clear" w:color="auto" w:fill="auto"/>
          </w:tcPr>
          <w:p w14:paraId="02D911F1" w14:textId="77777777" w:rsidR="006B628A" w:rsidRPr="005550DE" w:rsidRDefault="006B628A">
            <w:pPr>
              <w:widowControl w:val="0"/>
              <w:spacing w:before="5" w:after="0" w:line="240" w:lineRule="auto"/>
              <w:rPr>
                <w:rFonts w:eastAsia="Arial Narrow" w:cs="Arial Narrow"/>
                <w:b/>
                <w:spacing w:val="0"/>
              </w:rPr>
            </w:pPr>
          </w:p>
        </w:tc>
      </w:tr>
      <w:tr w:rsidR="006B628A" w:rsidRPr="00727F07" w14:paraId="5813A8F8" w14:textId="77777777" w:rsidTr="005550DE">
        <w:tc>
          <w:tcPr>
            <w:tcW w:w="1781" w:type="dxa"/>
            <w:shd w:val="clear" w:color="auto" w:fill="auto"/>
          </w:tcPr>
          <w:p w14:paraId="6932740D" w14:textId="77777777" w:rsidR="006B628A" w:rsidRPr="005550DE" w:rsidRDefault="006B628A">
            <w:pPr>
              <w:widowControl w:val="0"/>
              <w:spacing w:before="5" w:after="0" w:line="240" w:lineRule="auto"/>
              <w:rPr>
                <w:rFonts w:eastAsia="Arial Narrow" w:cs="Arial Narrow"/>
                <w:b/>
                <w:spacing w:val="0"/>
              </w:rPr>
            </w:pPr>
          </w:p>
        </w:tc>
        <w:tc>
          <w:tcPr>
            <w:tcW w:w="1717" w:type="dxa"/>
            <w:shd w:val="clear" w:color="auto" w:fill="auto"/>
          </w:tcPr>
          <w:p w14:paraId="4F9AF6B5" w14:textId="77777777" w:rsidR="006B628A" w:rsidRPr="005550DE" w:rsidRDefault="006B628A">
            <w:pPr>
              <w:widowControl w:val="0"/>
              <w:spacing w:before="5" w:after="0" w:line="240" w:lineRule="auto"/>
              <w:rPr>
                <w:rFonts w:eastAsia="Arial Narrow" w:cs="Arial Narrow"/>
                <w:b/>
                <w:spacing w:val="0"/>
              </w:rPr>
            </w:pPr>
          </w:p>
        </w:tc>
        <w:tc>
          <w:tcPr>
            <w:tcW w:w="5947" w:type="dxa"/>
            <w:shd w:val="clear" w:color="auto" w:fill="auto"/>
          </w:tcPr>
          <w:p w14:paraId="06F74B62" w14:textId="77777777" w:rsidR="006B628A" w:rsidRPr="005550DE" w:rsidRDefault="006B628A">
            <w:pPr>
              <w:widowControl w:val="0"/>
              <w:spacing w:before="5" w:after="0" w:line="240" w:lineRule="auto"/>
              <w:rPr>
                <w:rFonts w:eastAsia="Arial Narrow" w:cs="Arial Narrow"/>
                <w:b/>
                <w:spacing w:val="0"/>
              </w:rPr>
            </w:pPr>
          </w:p>
        </w:tc>
      </w:tr>
    </w:tbl>
    <w:p w14:paraId="0A84F39D" w14:textId="77777777" w:rsidR="00EA1EA7" w:rsidRDefault="00EA1EA7">
      <w:pPr>
        <w:spacing w:after="160" w:line="259" w:lineRule="auto"/>
        <w:rPr>
          <w:rFonts w:eastAsia="Times New Roman" w:cs="Times New Roman"/>
          <w:spacing w:val="0"/>
        </w:rPr>
      </w:pPr>
    </w:p>
    <w:bookmarkEnd w:id="40"/>
    <w:p w14:paraId="0C6AAA64" w14:textId="77777777" w:rsidR="00EA1EA7" w:rsidRPr="005550DE" w:rsidRDefault="00EB75FC">
      <w:pPr>
        <w:spacing w:after="160" w:line="259" w:lineRule="auto"/>
        <w:rPr>
          <w:rFonts w:eastAsia="Times New Roman" w:cs="Times New Roman"/>
          <w:spacing w:val="0"/>
        </w:rPr>
      </w:pPr>
      <w:r w:rsidRPr="005550DE">
        <w:rPr>
          <w:rFonts w:eastAsia="Times New Roman" w:cs="Times New Roman"/>
          <w:spacing w:val="0"/>
        </w:rPr>
        <w:br w:type="page"/>
      </w:r>
    </w:p>
    <w:p w14:paraId="302CC634" w14:textId="3119F078" w:rsidR="00FB4A04" w:rsidRDefault="00250B3A" w:rsidP="00522580">
      <w:pPr>
        <w:pStyle w:val="Heading2"/>
        <w:spacing w:before="0" w:after="240"/>
      </w:pPr>
      <w:bookmarkStart w:id="41" w:name="_Toc187052941"/>
      <w:bookmarkStart w:id="42" w:name="_Toc187924139"/>
      <w:bookmarkStart w:id="43" w:name="_Hlk185403230"/>
      <w:r>
        <w:lastRenderedPageBreak/>
        <w:t>3</w:t>
      </w:r>
      <w:r w:rsidR="00FB4A04">
        <w:t>.1 – Adjudicative Standard</w:t>
      </w:r>
      <w:bookmarkEnd w:id="41"/>
      <w:bookmarkEnd w:id="42"/>
    </w:p>
    <w:bookmarkEnd w:id="43"/>
    <w:p w14:paraId="24B6D723" w14:textId="316A37EC" w:rsidR="00FB4A04" w:rsidRPr="00860531" w:rsidRDefault="00627FAD" w:rsidP="00522580">
      <w:r w:rsidRPr="00860531">
        <w:t xml:space="preserve">Public service requires high standards of integrity and trust to promote the interests of the public. </w:t>
      </w:r>
      <w:r w:rsidR="00FB4A04" w:rsidRPr="00860531">
        <w:t xml:space="preserve">The objective of the suitability and fitness adjudicator is to establish a reasonable expectation that employment or continued employment of an individual either would or would not protect the integrity and promote the efficiency of the service. When there is a reasonable expectation employment would not do so, the individual should be found unsuitable or unfit. This expectation is established when an adverse nexus or connection can be shown between the character or conduct in question and the integrity of the service or the individual’s capacity and fitness for employment. </w:t>
      </w:r>
    </w:p>
    <w:p w14:paraId="2618D6EE" w14:textId="1195E76C" w:rsidR="00627FAD" w:rsidRDefault="00250B3A" w:rsidP="00522580">
      <w:pPr>
        <w:pStyle w:val="Heading2"/>
        <w:spacing w:before="0" w:after="240"/>
      </w:pPr>
      <w:bookmarkStart w:id="44" w:name="_Toc187052942"/>
      <w:bookmarkStart w:id="45" w:name="_Toc187924140"/>
      <w:bookmarkStart w:id="46" w:name="_Hlk185403410"/>
      <w:r>
        <w:t>3</w:t>
      </w:r>
      <w:r w:rsidR="00627FAD">
        <w:t>.2 – OPM and Agency Authorities</w:t>
      </w:r>
      <w:bookmarkEnd w:id="44"/>
      <w:bookmarkEnd w:id="45"/>
    </w:p>
    <w:bookmarkEnd w:id="46"/>
    <w:p w14:paraId="38A0541D" w14:textId="17629441" w:rsidR="00FB4A04" w:rsidRPr="00860531" w:rsidRDefault="00627FAD" w:rsidP="00522580">
      <w:r w:rsidRPr="00860531">
        <w:t xml:space="preserve">The responsibility for making fitness determinations lies with agencies. For excepted service positions covered by the </w:t>
      </w:r>
      <w:r w:rsidR="003C26BF">
        <w:t xml:space="preserve">5 C.F.R. </w:t>
      </w:r>
      <w:r w:rsidRPr="00860531">
        <w:t xml:space="preserve">part 731 regulation, agencies must make fitness determinations for each appointment unless reciprocity may be applied to a prior favorable suitability or fitness determination. </w:t>
      </w:r>
    </w:p>
    <w:p w14:paraId="68615ED4" w14:textId="1DDB7730" w:rsidR="00960C35" w:rsidRPr="00515099" w:rsidRDefault="00627FAD" w:rsidP="00522580">
      <w:r w:rsidRPr="00860531">
        <w:t>For positions in the competitive service, positions in the excepted service, and positions in the ca</w:t>
      </w:r>
      <w:r w:rsidR="005E013C" w:rsidRPr="00860531">
        <w:t xml:space="preserve">reer Senior Executive Service (hereinafter referred to as competitive service and career Senior Executive Service), OPM is responsible for making suitability determinations and taking suitability actions, except to the extent the authority has been delegated to agencies. Section 731.103 </w:t>
      </w:r>
      <w:r w:rsidR="00F530D2">
        <w:t xml:space="preserve">of title 5 C.F.R. </w:t>
      </w:r>
      <w:r w:rsidR="005E013C" w:rsidRPr="00860531">
        <w:t>outlines the delegation to agency heads for making suitability determinations and taking suitability actions for applicants and appointees of the agency</w:t>
      </w:r>
      <w:r w:rsidR="00832EAA" w:rsidRPr="00860531">
        <w:t xml:space="preserve"> while </w:t>
      </w:r>
      <w:r w:rsidR="00F530D2">
        <w:t xml:space="preserve">5 C.F.R. </w:t>
      </w:r>
      <w:r w:rsidR="00832EAA" w:rsidRPr="00860531">
        <w:t>§</w:t>
      </w:r>
      <w:r w:rsidR="31213842">
        <w:t xml:space="preserve"> </w:t>
      </w:r>
      <w:r w:rsidR="00832EAA" w:rsidRPr="00860531">
        <w:t>731.105 addresses authorities to take suitability actions</w:t>
      </w:r>
      <w:r w:rsidR="005E013C" w:rsidRPr="00860531">
        <w:t xml:space="preserve">. The following specifies OPM and agency responsibility for suitability determinations or actions. </w:t>
      </w:r>
    </w:p>
    <w:p w14:paraId="16618CAF" w14:textId="7670A78C" w:rsidR="00960C35" w:rsidRPr="00515099" w:rsidRDefault="00960C35" w:rsidP="00D25880">
      <w:pPr>
        <w:widowControl w:val="0"/>
        <w:spacing w:after="60"/>
        <w:rPr>
          <w:rFonts w:eastAsia="Times New Roman" w:cs="Times New Roman"/>
          <w:spacing w:val="0"/>
        </w:rPr>
      </w:pPr>
      <w:r w:rsidRPr="00515099">
        <w:rPr>
          <w:rFonts w:eastAsia="Times New Roman" w:cs="Times New Roman"/>
          <w:b/>
          <w:spacing w:val="0"/>
        </w:rPr>
        <w:t>OPM-Retained Adjudication Authority:</w:t>
      </w:r>
    </w:p>
    <w:p w14:paraId="375EE1ED" w14:textId="552ECBD1" w:rsidR="00960C35" w:rsidRPr="00515099" w:rsidRDefault="00960C35" w:rsidP="00A06D8B">
      <w:pPr>
        <w:widowControl w:val="0"/>
        <w:numPr>
          <w:ilvl w:val="0"/>
          <w:numId w:val="49"/>
        </w:numPr>
        <w:tabs>
          <w:tab w:val="clear" w:pos="360"/>
        </w:tabs>
        <w:spacing w:after="0"/>
        <w:ind w:left="720" w:hanging="360"/>
        <w:rPr>
          <w:rFonts w:eastAsia="Times New Roman" w:cs="Times New Roman"/>
          <w:spacing w:val="0"/>
        </w:rPr>
      </w:pPr>
      <w:r w:rsidRPr="00515099">
        <w:rPr>
          <w:rFonts w:eastAsia="Times New Roman" w:cs="Times New Roman"/>
          <w:spacing w:val="0"/>
        </w:rPr>
        <w:t xml:space="preserve">To adjudicate competitive service and career Senior Executive Service </w:t>
      </w:r>
      <w:r w:rsidR="00953142" w:rsidRPr="00515099">
        <w:rPr>
          <w:rFonts w:eastAsia="Times New Roman" w:cs="Times New Roman"/>
          <w:spacing w:val="0"/>
        </w:rPr>
        <w:t>positions</w:t>
      </w:r>
      <w:r w:rsidRPr="00515099">
        <w:rPr>
          <w:rFonts w:eastAsia="Times New Roman" w:cs="Times New Roman"/>
          <w:spacing w:val="0"/>
        </w:rPr>
        <w:t xml:space="preserve"> on the basis of any suitability factor for an applicant or appointee</w:t>
      </w:r>
      <w:r w:rsidR="005E013C" w:rsidRPr="00515099">
        <w:rPr>
          <w:rFonts w:eastAsia="Times New Roman" w:cs="Times New Roman"/>
          <w:spacing w:val="0"/>
        </w:rPr>
        <w:t>.</w:t>
      </w:r>
    </w:p>
    <w:p w14:paraId="0EB354C9" w14:textId="2A84C9BB" w:rsidR="00960C35" w:rsidRPr="00515099" w:rsidRDefault="00960C35" w:rsidP="00A06D8B">
      <w:pPr>
        <w:widowControl w:val="0"/>
        <w:numPr>
          <w:ilvl w:val="0"/>
          <w:numId w:val="49"/>
        </w:numPr>
        <w:tabs>
          <w:tab w:val="clear" w:pos="360"/>
        </w:tabs>
        <w:spacing w:after="60"/>
        <w:ind w:left="720" w:hanging="360"/>
        <w:rPr>
          <w:rFonts w:eastAsia="Times New Roman" w:cs="Times New Roman"/>
          <w:spacing w:val="0"/>
        </w:rPr>
      </w:pPr>
      <w:r w:rsidRPr="00515099">
        <w:rPr>
          <w:rFonts w:eastAsia="Times New Roman" w:cs="Times New Roman"/>
          <w:spacing w:val="0"/>
        </w:rPr>
        <w:t>To adjudicate competitive service and career Senior Executive Service</w:t>
      </w:r>
      <w:r w:rsidR="00953142" w:rsidRPr="00515099">
        <w:rPr>
          <w:rFonts w:eastAsia="Times New Roman" w:cs="Times New Roman"/>
          <w:spacing w:val="0"/>
        </w:rPr>
        <w:t xml:space="preserve"> positions</w:t>
      </w:r>
      <w:r w:rsidRPr="00515099">
        <w:rPr>
          <w:rFonts w:eastAsia="Times New Roman" w:cs="Times New Roman"/>
          <w:spacing w:val="0"/>
        </w:rPr>
        <w:t xml:space="preserve"> </w:t>
      </w:r>
      <w:r w:rsidR="003C26BF">
        <w:rPr>
          <w:rFonts w:eastAsia="Times New Roman" w:cs="Times New Roman"/>
          <w:spacing w:val="0"/>
        </w:rPr>
        <w:t xml:space="preserve">for employees </w:t>
      </w:r>
      <w:r w:rsidRPr="00515099">
        <w:rPr>
          <w:rFonts w:eastAsia="Times New Roman" w:cs="Times New Roman"/>
          <w:spacing w:val="0"/>
        </w:rPr>
        <w:t>when there is evidence of:</w:t>
      </w:r>
    </w:p>
    <w:p w14:paraId="10C8542D" w14:textId="0FDFEFCF" w:rsidR="00960C35" w:rsidRPr="00515099" w:rsidRDefault="00960C35" w:rsidP="00D87CA4">
      <w:pPr>
        <w:widowControl w:val="0"/>
        <w:numPr>
          <w:ilvl w:val="0"/>
          <w:numId w:val="69"/>
        </w:numPr>
        <w:tabs>
          <w:tab w:val="clear" w:pos="1656"/>
        </w:tabs>
        <w:spacing w:after="0"/>
        <w:rPr>
          <w:rFonts w:eastAsia="Times New Roman" w:cs="Times New Roman"/>
          <w:spacing w:val="0"/>
        </w:rPr>
      </w:pPr>
      <w:r w:rsidRPr="00515099">
        <w:rPr>
          <w:rFonts w:eastAsia="Times New Roman" w:cs="Times New Roman"/>
          <w:spacing w:val="0"/>
        </w:rPr>
        <w:t>Material, intentional false statement, or deception or fraud</w:t>
      </w:r>
      <w:r w:rsidR="005E013C" w:rsidRPr="00515099">
        <w:rPr>
          <w:rFonts w:eastAsia="Times New Roman" w:cs="Times New Roman"/>
          <w:spacing w:val="0"/>
        </w:rPr>
        <w:t>,</w:t>
      </w:r>
      <w:r w:rsidRPr="00515099">
        <w:rPr>
          <w:rFonts w:eastAsia="Times New Roman" w:cs="Times New Roman"/>
          <w:spacing w:val="0"/>
        </w:rPr>
        <w:t xml:space="preserve"> in examination or appointment in an appointment subject to investigation,</w:t>
      </w:r>
    </w:p>
    <w:p w14:paraId="7051FBD1" w14:textId="53F8F0B3" w:rsidR="00960C35" w:rsidRPr="00515099" w:rsidRDefault="005E013C" w:rsidP="00D87CA4">
      <w:pPr>
        <w:widowControl w:val="0"/>
        <w:numPr>
          <w:ilvl w:val="0"/>
          <w:numId w:val="69"/>
        </w:numPr>
        <w:tabs>
          <w:tab w:val="clear" w:pos="1656"/>
        </w:tabs>
        <w:spacing w:after="0"/>
        <w:rPr>
          <w:rFonts w:eastAsia="Times New Roman" w:cs="Times New Roman"/>
          <w:spacing w:val="0"/>
        </w:rPr>
      </w:pPr>
      <w:r w:rsidRPr="00515099">
        <w:rPr>
          <w:rFonts w:eastAsia="Times New Roman" w:cs="Times New Roman"/>
          <w:spacing w:val="0"/>
        </w:rPr>
        <w:t>Knowing and willful engagement in acts or activities designed to overthrow the U.S. Government by force</w:t>
      </w:r>
      <w:r w:rsidR="00832EAA" w:rsidRPr="00515099">
        <w:rPr>
          <w:rFonts w:eastAsia="Times New Roman" w:cs="Times New Roman"/>
          <w:spacing w:val="0"/>
        </w:rPr>
        <w:t>, or</w:t>
      </w:r>
    </w:p>
    <w:p w14:paraId="5C975D81" w14:textId="35D6745B" w:rsidR="00E70AC7" w:rsidRPr="00E94524" w:rsidRDefault="00832EAA" w:rsidP="00E94524">
      <w:pPr>
        <w:widowControl w:val="0"/>
        <w:numPr>
          <w:ilvl w:val="0"/>
          <w:numId w:val="69"/>
        </w:numPr>
        <w:tabs>
          <w:tab w:val="clear" w:pos="1656"/>
        </w:tabs>
        <w:rPr>
          <w:rFonts w:eastAsia="Times New Roman" w:cs="Times New Roman"/>
          <w:spacing w:val="0"/>
        </w:rPr>
      </w:pPr>
      <w:r w:rsidRPr="00515099">
        <w:rPr>
          <w:rFonts w:eastAsia="Times New Roman" w:cs="Times New Roman"/>
          <w:spacing w:val="0"/>
        </w:rPr>
        <w:t>Any statutory or regulatory bar that prevents the unlawful employment of the individual in the position in question.</w:t>
      </w:r>
    </w:p>
    <w:p w14:paraId="189BB0B0" w14:textId="12DE2D05" w:rsidR="00960C35" w:rsidRPr="00515099" w:rsidRDefault="00960C35" w:rsidP="00A75EC6">
      <w:pPr>
        <w:widowControl w:val="0"/>
        <w:spacing w:after="60"/>
        <w:rPr>
          <w:rFonts w:eastAsia="Times New Roman" w:cs="Times New Roman"/>
          <w:spacing w:val="0"/>
        </w:rPr>
      </w:pPr>
      <w:r w:rsidRPr="00515099">
        <w:rPr>
          <w:rFonts w:eastAsia="Times New Roman" w:cs="Times New Roman"/>
          <w:b/>
          <w:spacing w:val="0"/>
        </w:rPr>
        <w:t xml:space="preserve">Agency-Delegated Adjudication Authority. </w:t>
      </w:r>
      <w:r w:rsidRPr="00515099">
        <w:rPr>
          <w:rFonts w:eastAsia="Times New Roman" w:cs="Times New Roman"/>
          <w:spacing w:val="0"/>
        </w:rPr>
        <w:t>OPM delegates</w:t>
      </w:r>
      <w:r w:rsidRPr="00515099">
        <w:rPr>
          <w:rFonts w:eastAsia="Times New Roman" w:cs="Times New Roman"/>
          <w:spacing w:val="0"/>
        </w:rPr>
        <w:fldChar w:fldCharType="begin"/>
      </w:r>
      <w:r w:rsidRPr="00515099">
        <w:rPr>
          <w:rFonts w:eastAsia="Times New Roman" w:cs="Times New Roman"/>
          <w:spacing w:val="0"/>
        </w:rPr>
        <w:instrText xml:space="preserve"> XE "Delegation" </w:instrText>
      </w:r>
      <w:r w:rsidRPr="00515099">
        <w:rPr>
          <w:rFonts w:eastAsia="Times New Roman" w:cs="Times New Roman"/>
          <w:spacing w:val="0"/>
        </w:rPr>
        <w:fldChar w:fldCharType="end"/>
      </w:r>
      <w:r w:rsidRPr="00515099">
        <w:rPr>
          <w:rFonts w:eastAsia="Times New Roman" w:cs="Times New Roman"/>
          <w:spacing w:val="0"/>
        </w:rPr>
        <w:t xml:space="preserve"> </w:t>
      </w:r>
      <w:r w:rsidR="000E4F80" w:rsidRPr="00515099">
        <w:rPr>
          <w:rFonts w:eastAsia="Times New Roman" w:cs="Times New Roman"/>
          <w:spacing w:val="0"/>
        </w:rPr>
        <w:t>agency heads</w:t>
      </w:r>
      <w:r w:rsidRPr="00515099">
        <w:rPr>
          <w:rFonts w:eastAsia="Times New Roman" w:cs="Times New Roman"/>
          <w:spacing w:val="0"/>
        </w:rPr>
        <w:t xml:space="preserve"> the authority to adjudicate the suitability of the following:</w:t>
      </w:r>
    </w:p>
    <w:p w14:paraId="58BB0644" w14:textId="3977CEBC" w:rsidR="00960C35" w:rsidRPr="00515099" w:rsidRDefault="00960C35" w:rsidP="00A06D8B">
      <w:pPr>
        <w:widowControl w:val="0"/>
        <w:numPr>
          <w:ilvl w:val="0"/>
          <w:numId w:val="48"/>
        </w:numPr>
        <w:tabs>
          <w:tab w:val="clear" w:pos="360"/>
        </w:tabs>
        <w:spacing w:after="60"/>
        <w:ind w:left="720" w:hanging="360"/>
        <w:rPr>
          <w:rFonts w:eastAsia="Times New Roman" w:cs="Times New Roman"/>
          <w:spacing w:val="0"/>
        </w:rPr>
      </w:pPr>
      <w:r w:rsidRPr="00515099">
        <w:rPr>
          <w:rFonts w:eastAsia="Times New Roman" w:cs="Times New Roman"/>
          <w:spacing w:val="0"/>
        </w:rPr>
        <w:t>Applicants for, and appointees to, competitive service</w:t>
      </w:r>
      <w:r w:rsidR="00953142" w:rsidRPr="00515099">
        <w:rPr>
          <w:rFonts w:eastAsia="Times New Roman" w:cs="Times New Roman"/>
          <w:spacing w:val="0"/>
        </w:rPr>
        <w:t xml:space="preserve"> </w:t>
      </w:r>
      <w:r w:rsidRPr="00515099">
        <w:rPr>
          <w:rFonts w:eastAsia="Times New Roman" w:cs="Times New Roman"/>
          <w:spacing w:val="0"/>
        </w:rPr>
        <w:t>and career S</w:t>
      </w:r>
      <w:r w:rsidR="00953142" w:rsidRPr="00515099">
        <w:rPr>
          <w:rFonts w:eastAsia="Times New Roman" w:cs="Times New Roman"/>
          <w:spacing w:val="0"/>
        </w:rPr>
        <w:t>enior Executive Service</w:t>
      </w:r>
      <w:r w:rsidRPr="00515099">
        <w:rPr>
          <w:rFonts w:eastAsia="Times New Roman" w:cs="Times New Roman"/>
          <w:spacing w:val="0"/>
        </w:rPr>
        <w:t xml:space="preserve"> positions </w:t>
      </w:r>
      <w:r w:rsidR="00832EAA" w:rsidRPr="00515099">
        <w:rPr>
          <w:rFonts w:eastAsia="Times New Roman" w:cs="Times New Roman"/>
          <w:spacing w:val="0"/>
        </w:rPr>
        <w:t>within the agency</w:t>
      </w:r>
      <w:r w:rsidRPr="00515099">
        <w:rPr>
          <w:rFonts w:eastAsia="Times New Roman" w:cs="Times New Roman"/>
          <w:spacing w:val="0"/>
        </w:rPr>
        <w:t>….</w:t>
      </w:r>
      <w:r w:rsidRPr="00515099">
        <w:rPr>
          <w:rFonts w:eastAsia="Times New Roman" w:cs="Times New Roman"/>
          <w:b/>
          <w:i/>
          <w:spacing w:val="0"/>
        </w:rPr>
        <w:t>unless</w:t>
      </w:r>
      <w:r w:rsidRPr="00515099">
        <w:rPr>
          <w:rFonts w:eastAsia="Times New Roman" w:cs="Times New Roman"/>
          <w:b/>
          <w:spacing w:val="0"/>
        </w:rPr>
        <w:t xml:space="preserve"> </w:t>
      </w:r>
      <w:r w:rsidRPr="00515099">
        <w:rPr>
          <w:rFonts w:eastAsia="Times New Roman" w:cs="Times New Roman"/>
          <w:spacing w:val="0"/>
        </w:rPr>
        <w:t>there is:</w:t>
      </w:r>
    </w:p>
    <w:p w14:paraId="19EC34F3" w14:textId="3644CC14" w:rsidR="00960C35" w:rsidRPr="00515099" w:rsidRDefault="00960C35" w:rsidP="00D87CA4">
      <w:pPr>
        <w:widowControl w:val="0"/>
        <w:numPr>
          <w:ilvl w:val="0"/>
          <w:numId w:val="70"/>
        </w:numPr>
        <w:tabs>
          <w:tab w:val="clear" w:pos="1584"/>
        </w:tabs>
        <w:spacing w:after="0"/>
        <w:rPr>
          <w:rFonts w:eastAsia="Times New Roman" w:cs="Times New Roman"/>
          <w:spacing w:val="0"/>
        </w:rPr>
      </w:pPr>
      <w:r w:rsidRPr="00515099">
        <w:rPr>
          <w:rFonts w:eastAsia="Times New Roman" w:cs="Times New Roman"/>
          <w:spacing w:val="0"/>
        </w:rPr>
        <w:t xml:space="preserve">Evidence of material, intentional false statement, or deception or fraud in examination or appointment, </w:t>
      </w:r>
    </w:p>
    <w:p w14:paraId="15B80461" w14:textId="37729287" w:rsidR="00960C35" w:rsidRPr="00515099" w:rsidRDefault="00960C35" w:rsidP="00D87CA4">
      <w:pPr>
        <w:widowControl w:val="0"/>
        <w:numPr>
          <w:ilvl w:val="0"/>
          <w:numId w:val="70"/>
        </w:numPr>
        <w:tabs>
          <w:tab w:val="clear" w:pos="1584"/>
        </w:tabs>
        <w:spacing w:after="0"/>
        <w:rPr>
          <w:rFonts w:eastAsia="Times New Roman" w:cs="Times New Roman"/>
          <w:spacing w:val="0"/>
        </w:rPr>
      </w:pPr>
      <w:r w:rsidRPr="00515099">
        <w:rPr>
          <w:rFonts w:eastAsia="Times New Roman" w:cs="Times New Roman"/>
          <w:spacing w:val="0"/>
        </w:rPr>
        <w:lastRenderedPageBreak/>
        <w:t xml:space="preserve">Evidence </w:t>
      </w:r>
      <w:r w:rsidR="000E4F80" w:rsidRPr="00515099">
        <w:rPr>
          <w:rFonts w:eastAsia="Times New Roman" w:cs="Times New Roman"/>
          <w:spacing w:val="0"/>
        </w:rPr>
        <w:t>of knowing and willful engagement in acts or activities designed to overthrow the U.S. Government by force, or</w:t>
      </w:r>
    </w:p>
    <w:p w14:paraId="6CD82B09" w14:textId="1D13367C" w:rsidR="000E4F80" w:rsidRPr="00515099" w:rsidRDefault="000E4F80" w:rsidP="00D87CA4">
      <w:pPr>
        <w:widowControl w:val="0"/>
        <w:numPr>
          <w:ilvl w:val="0"/>
          <w:numId w:val="70"/>
        </w:numPr>
        <w:tabs>
          <w:tab w:val="clear" w:pos="1584"/>
        </w:tabs>
        <w:rPr>
          <w:rFonts w:eastAsia="Times New Roman" w:cs="Times New Roman"/>
          <w:spacing w:val="0"/>
        </w:rPr>
      </w:pPr>
      <w:r w:rsidRPr="00515099">
        <w:rPr>
          <w:rFonts w:eastAsia="Times New Roman" w:cs="Times New Roman"/>
          <w:spacing w:val="0"/>
        </w:rPr>
        <w:t>Cases in which the conduct may warrant a government-wide debarment by OPM.</w:t>
      </w:r>
    </w:p>
    <w:p w14:paraId="2E13E2F8" w14:textId="4442DD1C" w:rsidR="00960C35" w:rsidRPr="00515099" w:rsidRDefault="00832EAA" w:rsidP="00A75EC6">
      <w:pPr>
        <w:spacing w:after="60"/>
      </w:pPr>
      <w:r w:rsidRPr="00515099">
        <w:t xml:space="preserve">Suitability and fitness determinations are made </w:t>
      </w:r>
      <w:r w:rsidR="00953142" w:rsidRPr="00515099">
        <w:t>upon investigative results regardless of the vetting scenario (initial vetting, continuous vetting, transfer of trust, upgrades, re-establishment of trust). For unfavorable determinations, the agency will determine the appropriate process for action. For c</w:t>
      </w:r>
      <w:r w:rsidR="00DF3B4C" w:rsidRPr="00515099">
        <w:t>ompetitive service and career Senior Executive Service positions, OPM and agencies have as an option, the ability to take a suitability action dependent upon the individual’s status, as follows:</w:t>
      </w:r>
    </w:p>
    <w:p w14:paraId="12058FAB" w14:textId="5AAC9870" w:rsidR="00DF3B4C" w:rsidRPr="00515099" w:rsidRDefault="00DF3B4C" w:rsidP="00A06D8B">
      <w:pPr>
        <w:pStyle w:val="ListParagraph"/>
        <w:keepNext/>
        <w:numPr>
          <w:ilvl w:val="0"/>
          <w:numId w:val="63"/>
        </w:numPr>
        <w:spacing w:after="0"/>
        <w:contextualSpacing w:val="0"/>
        <w:rPr>
          <w:rFonts w:eastAsia="Times New Roman" w:cs="Times New Roman"/>
          <w:spacing w:val="0"/>
        </w:rPr>
      </w:pPr>
      <w:r w:rsidRPr="00515099">
        <w:rPr>
          <w:rFonts w:eastAsia="Times New Roman" w:cs="Times New Roman"/>
          <w:spacing w:val="0"/>
        </w:rPr>
        <w:t>OPM and agencies may take suitability actions against applicants and appointees who are subject to investigation including when a prior investigation is being reciprocally accepted. The authority to take an action continues when an application is withdrawn, when an offer of employment is withdrawn, or when an individual appointed separates from employment.</w:t>
      </w:r>
    </w:p>
    <w:p w14:paraId="3C373A34" w14:textId="714C8F9A" w:rsidR="00DF3B4C" w:rsidRPr="00515099" w:rsidRDefault="00DF3B4C" w:rsidP="00A06D8B">
      <w:pPr>
        <w:pStyle w:val="ListParagraph"/>
        <w:keepNext/>
        <w:numPr>
          <w:ilvl w:val="0"/>
          <w:numId w:val="63"/>
        </w:numPr>
        <w:contextualSpacing w:val="0"/>
        <w:rPr>
          <w:rFonts w:eastAsia="Times New Roman" w:cs="Times New Roman"/>
          <w:spacing w:val="0"/>
        </w:rPr>
      </w:pPr>
      <w:r w:rsidRPr="00515099">
        <w:rPr>
          <w:rFonts w:eastAsia="Times New Roman" w:cs="Times New Roman"/>
          <w:spacing w:val="0"/>
        </w:rPr>
        <w:t xml:space="preserve">OPM may take a suitability action against an individual with employee status when there is evidence of material, intentional false statement, or deception or fraud in examination or appointment, evidence of knowing and willful engagement in acts or activities designed to overthrow the U.S. Government by force, or </w:t>
      </w:r>
      <w:r w:rsidR="00992633" w:rsidRPr="00515099">
        <w:rPr>
          <w:rFonts w:eastAsia="Times New Roman" w:cs="Times New Roman"/>
          <w:spacing w:val="0"/>
        </w:rPr>
        <w:t>a statutory or regulatory bar that prevents the unlawful employment of the individual in the position in question.</w:t>
      </w:r>
    </w:p>
    <w:p w14:paraId="7D84922B" w14:textId="4C27F829" w:rsidR="00992633" w:rsidRPr="001D0BD1" w:rsidRDefault="00992633" w:rsidP="2AEFA46C">
      <w:pPr>
        <w:rPr>
          <w:rFonts w:ascii="Source Sans Pro" w:eastAsia="Source Sans Pro" w:hAnsi="Source Sans Pro" w:cs="Source Sans Pro"/>
          <w:spacing w:val="0"/>
        </w:rPr>
      </w:pPr>
      <w:r w:rsidRPr="00515099">
        <w:rPr>
          <w:rFonts w:eastAsia="Times New Roman" w:cs="Times New Roman"/>
          <w:spacing w:val="0"/>
        </w:rPr>
        <w:t>Generally, suitability actions may</w:t>
      </w:r>
      <w:r w:rsidR="0060492B" w:rsidRPr="00515099">
        <w:rPr>
          <w:rFonts w:eastAsia="Times New Roman" w:cs="Times New Roman"/>
          <w:spacing w:val="0"/>
        </w:rPr>
        <w:t xml:space="preserve"> not</w:t>
      </w:r>
      <w:r w:rsidRPr="00515099">
        <w:rPr>
          <w:rFonts w:eastAsia="Times New Roman" w:cs="Times New Roman"/>
          <w:spacing w:val="0"/>
        </w:rPr>
        <w:t xml:space="preserve"> be taken</w:t>
      </w:r>
      <w:r w:rsidR="0060492B" w:rsidRPr="00515099">
        <w:rPr>
          <w:rFonts w:eastAsia="Times New Roman" w:cs="Times New Roman"/>
          <w:spacing w:val="0"/>
        </w:rPr>
        <w:t xml:space="preserve"> solely on</w:t>
      </w:r>
      <w:r w:rsidRPr="00515099">
        <w:rPr>
          <w:rFonts w:eastAsia="Times New Roman" w:cs="Times New Roman"/>
          <w:spacing w:val="0"/>
        </w:rPr>
        <w:t xml:space="preserve"> conduct occurring </w:t>
      </w:r>
      <w:r w:rsidR="0060492B" w:rsidRPr="00515099">
        <w:rPr>
          <w:rFonts w:eastAsia="Times New Roman" w:cs="Times New Roman"/>
          <w:spacing w:val="0"/>
        </w:rPr>
        <w:t>after admission into the competitive service.</w:t>
      </w:r>
      <w:r w:rsidR="0060492B" w:rsidRPr="001D0BD1">
        <w:rPr>
          <w:rStyle w:val="FootnoteReference"/>
          <w:rFonts w:eastAsia="Times New Roman" w:cs="Times New Roman"/>
          <w:spacing w:val="0"/>
        </w:rPr>
        <w:footnoteReference w:id="5"/>
      </w:r>
      <w:r w:rsidR="0060492B" w:rsidRPr="001D0BD1">
        <w:rPr>
          <w:rFonts w:eastAsia="Times New Roman" w:cs="Times New Roman"/>
          <w:spacing w:val="0"/>
        </w:rPr>
        <w:t xml:space="preserve"> </w:t>
      </w:r>
      <w:r w:rsidR="001E566B" w:rsidRPr="001D0BD1">
        <w:rPr>
          <w:rFonts w:eastAsia="Times New Roman" w:cs="Times New Roman"/>
          <w:spacing w:val="0"/>
        </w:rPr>
        <w:t xml:space="preserve">It is for this reason that while suitability determinations will be made about an individual throughout their tenure as a Federal employee, a suitability action may only be considered at initial entry into the competitive service and </w:t>
      </w:r>
      <w:r w:rsidR="001E566B" w:rsidRPr="00F530D2">
        <w:rPr>
          <w:rFonts w:ascii="Source Sans Pro" w:eastAsia="Times New Roman" w:hAnsi="Source Sans Pro" w:cs="Times New Roman"/>
          <w:spacing w:val="0"/>
        </w:rPr>
        <w:t xml:space="preserve">career Senior Executive Service. When suitability issues occur post-appointment, such as may </w:t>
      </w:r>
      <w:r w:rsidR="001E566B" w:rsidRPr="2AEFA46C">
        <w:rPr>
          <w:rFonts w:ascii="Source Sans Pro" w:eastAsia="Source Sans Pro" w:hAnsi="Source Sans Pro" w:cs="Source Sans Pro"/>
          <w:spacing w:val="0"/>
        </w:rPr>
        <w:t>be discovered via a continuous vetting alert, the agency will look to another authority for possible action, such as 5 C</w:t>
      </w:r>
      <w:r w:rsidR="009B4CE5" w:rsidRPr="2AEFA46C">
        <w:rPr>
          <w:rFonts w:ascii="Source Sans Pro" w:eastAsia="Source Sans Pro" w:hAnsi="Source Sans Pro" w:cs="Source Sans Pro"/>
          <w:spacing w:val="0"/>
        </w:rPr>
        <w:t>.</w:t>
      </w:r>
      <w:r w:rsidR="001E566B" w:rsidRPr="2AEFA46C">
        <w:rPr>
          <w:rFonts w:ascii="Source Sans Pro" w:eastAsia="Source Sans Pro" w:hAnsi="Source Sans Pro" w:cs="Source Sans Pro"/>
          <w:spacing w:val="0"/>
        </w:rPr>
        <w:t>F</w:t>
      </w:r>
      <w:r w:rsidR="009B4CE5" w:rsidRPr="2AEFA46C">
        <w:rPr>
          <w:rFonts w:ascii="Source Sans Pro" w:eastAsia="Source Sans Pro" w:hAnsi="Source Sans Pro" w:cs="Source Sans Pro"/>
          <w:spacing w:val="0"/>
        </w:rPr>
        <w:t>.</w:t>
      </w:r>
      <w:r w:rsidR="001E566B" w:rsidRPr="2AEFA46C">
        <w:rPr>
          <w:rFonts w:ascii="Source Sans Pro" w:eastAsia="Source Sans Pro" w:hAnsi="Source Sans Pro" w:cs="Source Sans Pro"/>
          <w:spacing w:val="0"/>
        </w:rPr>
        <w:t>R</w:t>
      </w:r>
      <w:r w:rsidR="009B4CE5" w:rsidRPr="2AEFA46C">
        <w:rPr>
          <w:rFonts w:ascii="Source Sans Pro" w:eastAsia="Source Sans Pro" w:hAnsi="Source Sans Pro" w:cs="Source Sans Pro"/>
          <w:spacing w:val="0"/>
        </w:rPr>
        <w:t>.</w:t>
      </w:r>
      <w:r w:rsidR="001E566B" w:rsidRPr="2AEFA46C">
        <w:rPr>
          <w:rFonts w:ascii="Source Sans Pro" w:eastAsia="Source Sans Pro" w:hAnsi="Source Sans Pro" w:cs="Source Sans Pro"/>
          <w:spacing w:val="0"/>
        </w:rPr>
        <w:t xml:space="preserve"> parts 315</w:t>
      </w:r>
      <w:r w:rsidR="007A78EF" w:rsidRPr="2AEFA46C">
        <w:rPr>
          <w:rFonts w:ascii="Source Sans Pro" w:eastAsia="Source Sans Pro" w:hAnsi="Source Sans Pro" w:cs="Source Sans Pro"/>
          <w:spacing w:val="0"/>
        </w:rPr>
        <w:t>, 359, or</w:t>
      </w:r>
      <w:r w:rsidR="001E566B" w:rsidRPr="2AEFA46C">
        <w:rPr>
          <w:rFonts w:ascii="Source Sans Pro" w:eastAsia="Source Sans Pro" w:hAnsi="Source Sans Pro" w:cs="Source Sans Pro"/>
          <w:spacing w:val="0"/>
        </w:rPr>
        <w:t xml:space="preserve"> 752.</w:t>
      </w:r>
      <w:r w:rsidRPr="2AEFA46C">
        <w:rPr>
          <w:rFonts w:ascii="Source Sans Pro" w:eastAsia="Source Sans Pro" w:hAnsi="Source Sans Pro" w:cs="Source Sans Pro"/>
          <w:spacing w:val="0"/>
        </w:rPr>
        <w:t xml:space="preserve"> </w:t>
      </w:r>
    </w:p>
    <w:p w14:paraId="2CE1354E" w14:textId="10951A9F" w:rsidR="00627FAD" w:rsidRDefault="00250B3A" w:rsidP="00860F0B">
      <w:pPr>
        <w:pStyle w:val="Heading2"/>
        <w:spacing w:before="0" w:after="240"/>
      </w:pPr>
      <w:bookmarkStart w:id="47" w:name="_Toc187052943"/>
      <w:bookmarkStart w:id="48" w:name="_Toc187924141"/>
      <w:r>
        <w:t>3</w:t>
      </w:r>
      <w:r w:rsidR="00627FAD">
        <w:t>.3 – Require</w:t>
      </w:r>
      <w:r w:rsidR="000E4F80">
        <w:t>d</w:t>
      </w:r>
      <w:r w:rsidR="00627FAD">
        <w:t xml:space="preserve"> Referrals to OPM</w:t>
      </w:r>
      <w:bookmarkEnd w:id="47"/>
      <w:bookmarkEnd w:id="48"/>
    </w:p>
    <w:p w14:paraId="693BC6B4" w14:textId="51899BEF" w:rsidR="007A78EF" w:rsidRPr="001D0BD1" w:rsidRDefault="001E566B" w:rsidP="005F3135">
      <w:pPr>
        <w:widowControl w:val="0"/>
        <w:spacing w:after="60"/>
        <w:rPr>
          <w:rFonts w:eastAsia="Times New Roman" w:cs="Times New Roman"/>
          <w:snapToGrid w:val="0"/>
          <w:spacing w:val="0"/>
        </w:rPr>
      </w:pPr>
      <w:r w:rsidRPr="001D0BD1">
        <w:rPr>
          <w:rFonts w:eastAsia="Times New Roman" w:cs="Times New Roman"/>
          <w:snapToGrid w:val="0"/>
          <w:spacing w:val="0"/>
        </w:rPr>
        <w:t>As addressed in the prior section, agencies have limited jurisdiction for making suitability determinations and taking actions for applicants and appointees to competitive service</w:t>
      </w:r>
      <w:r w:rsidRPr="2AEFA46C">
        <w:rPr>
          <w:rFonts w:ascii="Source Sans Pro" w:eastAsia="Source Sans Pro" w:hAnsi="Source Sans Pro" w:cs="Source Sans Pro"/>
          <w:snapToGrid w:val="0"/>
          <w:spacing w:val="0"/>
        </w:rPr>
        <w:t xml:space="preserve"> and career Senior Executive Service</w:t>
      </w:r>
      <w:r w:rsidR="007A78EF" w:rsidRPr="2AEFA46C">
        <w:rPr>
          <w:rFonts w:ascii="Source Sans Pro" w:eastAsia="Source Sans Pro" w:hAnsi="Source Sans Pro" w:cs="Source Sans Pro"/>
          <w:snapToGrid w:val="0"/>
          <w:spacing w:val="0"/>
        </w:rPr>
        <w:t>. When an agency encounters a case containing ev</w:t>
      </w:r>
      <w:r w:rsidR="007A78EF" w:rsidRPr="001D0BD1">
        <w:rPr>
          <w:rFonts w:eastAsia="Times New Roman" w:cs="Times New Roman"/>
          <w:snapToGrid w:val="0"/>
          <w:spacing w:val="0"/>
        </w:rPr>
        <w:t>idence of conduct falling within one of the following scenarios, it must refer the matter to OPM or notify OPM if it want</w:t>
      </w:r>
      <w:r w:rsidR="007729B1" w:rsidRPr="001D0BD1">
        <w:rPr>
          <w:rFonts w:eastAsia="Times New Roman" w:cs="Times New Roman"/>
          <w:snapToGrid w:val="0"/>
          <w:spacing w:val="0"/>
        </w:rPr>
        <w:t>ing</w:t>
      </w:r>
      <w:r w:rsidR="007A78EF" w:rsidRPr="001D0BD1">
        <w:rPr>
          <w:rFonts w:eastAsia="Times New Roman" w:cs="Times New Roman"/>
          <w:snapToGrid w:val="0"/>
          <w:spacing w:val="0"/>
        </w:rPr>
        <w:t xml:space="preserve"> to take, or has taken, action under another authority:</w:t>
      </w:r>
    </w:p>
    <w:p w14:paraId="623749D6" w14:textId="4233295B" w:rsidR="007A78EF" w:rsidRPr="001D0BD1" w:rsidRDefault="007A78EF" w:rsidP="00A06D8B">
      <w:pPr>
        <w:pStyle w:val="ListParagraph"/>
        <w:widowControl w:val="0"/>
        <w:numPr>
          <w:ilvl w:val="0"/>
          <w:numId w:val="64"/>
        </w:numPr>
        <w:spacing w:after="0"/>
        <w:contextualSpacing w:val="0"/>
        <w:rPr>
          <w:rFonts w:eastAsia="Times New Roman" w:cs="Times New Roman"/>
          <w:snapToGrid w:val="0"/>
          <w:spacing w:val="0"/>
        </w:rPr>
      </w:pPr>
      <w:r w:rsidRPr="001D0BD1">
        <w:rPr>
          <w:rFonts w:eastAsia="Times New Roman" w:cs="Times New Roman"/>
          <w:snapToGrid w:val="0"/>
          <w:spacing w:val="0"/>
        </w:rPr>
        <w:t>There is evidence of falsification or fraud relating to examination or appointment at any point when information giving rise to such a charge is discovered.</w:t>
      </w:r>
    </w:p>
    <w:p w14:paraId="37FCEDDC" w14:textId="034C0661" w:rsidR="007A78EF" w:rsidRPr="001D0BD1" w:rsidRDefault="007A78EF" w:rsidP="00A06D8B">
      <w:pPr>
        <w:pStyle w:val="ListParagraph"/>
        <w:widowControl w:val="0"/>
        <w:numPr>
          <w:ilvl w:val="0"/>
          <w:numId w:val="64"/>
        </w:numPr>
        <w:spacing w:after="0"/>
        <w:contextualSpacing w:val="0"/>
        <w:rPr>
          <w:rFonts w:eastAsia="Times New Roman" w:cs="Times New Roman"/>
          <w:snapToGrid w:val="0"/>
          <w:spacing w:val="0"/>
        </w:rPr>
      </w:pPr>
      <w:r w:rsidRPr="001D0BD1">
        <w:rPr>
          <w:rFonts w:eastAsia="Times New Roman" w:cs="Times New Roman"/>
          <w:snapToGrid w:val="0"/>
          <w:spacing w:val="0"/>
        </w:rPr>
        <w:t xml:space="preserve">There is evidence of knowing and willful engagement in acts or activities designed to overthrow the U.S. Government by force. </w:t>
      </w:r>
    </w:p>
    <w:p w14:paraId="3CE9C691" w14:textId="6802BC8F" w:rsidR="007729B1" w:rsidRPr="001D0BD1" w:rsidRDefault="007A78EF" w:rsidP="00A06D8B">
      <w:pPr>
        <w:pStyle w:val="ListParagraph"/>
        <w:widowControl w:val="0"/>
        <w:numPr>
          <w:ilvl w:val="0"/>
          <w:numId w:val="64"/>
        </w:numPr>
        <w:contextualSpacing w:val="0"/>
        <w:rPr>
          <w:rFonts w:eastAsia="Times New Roman" w:cs="Times New Roman"/>
          <w:snapToGrid w:val="0"/>
          <w:spacing w:val="0"/>
        </w:rPr>
      </w:pPr>
      <w:r w:rsidRPr="001D0BD1">
        <w:rPr>
          <w:rFonts w:eastAsia="Times New Roman" w:cs="Times New Roman"/>
          <w:snapToGrid w:val="0"/>
          <w:spacing w:val="0"/>
        </w:rPr>
        <w:t xml:space="preserve">A government-wide debarment may be </w:t>
      </w:r>
      <w:r w:rsidR="00C30004" w:rsidRPr="001D0BD1">
        <w:rPr>
          <w:rFonts w:eastAsia="Times New Roman" w:cs="Times New Roman"/>
          <w:snapToGrid w:val="0"/>
          <w:spacing w:val="0"/>
        </w:rPr>
        <w:t>appropriate,</w:t>
      </w:r>
      <w:r w:rsidRPr="001D0BD1">
        <w:rPr>
          <w:rFonts w:eastAsia="Times New Roman" w:cs="Times New Roman"/>
          <w:snapToGrid w:val="0"/>
          <w:spacing w:val="0"/>
        </w:rPr>
        <w:t xml:space="preserve"> and the agency </w:t>
      </w:r>
      <w:r w:rsidR="00D315D7" w:rsidRPr="001D0BD1">
        <w:rPr>
          <w:rFonts w:eastAsia="Times New Roman" w:cs="Times New Roman"/>
          <w:snapToGrid w:val="0"/>
          <w:spacing w:val="0"/>
        </w:rPr>
        <w:t xml:space="preserve">has secured </w:t>
      </w:r>
      <w:r w:rsidR="00D315D7" w:rsidRPr="001D0BD1">
        <w:rPr>
          <w:rFonts w:eastAsia="Times New Roman" w:cs="Times New Roman"/>
          <w:snapToGrid w:val="0"/>
          <w:spacing w:val="0"/>
        </w:rPr>
        <w:lastRenderedPageBreak/>
        <w:t>sufficient information in support of the issue to determine the debarment appears warranted but has not yet issued a proposed suitability action.</w:t>
      </w:r>
    </w:p>
    <w:p w14:paraId="6BEEE086" w14:textId="1EAD11B6" w:rsidR="007729B1" w:rsidRPr="00073D27" w:rsidRDefault="007729B1" w:rsidP="005F3135">
      <w:pPr>
        <w:widowControl w:val="0"/>
        <w:rPr>
          <w:rFonts w:eastAsia="Times New Roman" w:cs="Times New Roman"/>
          <w:snapToGrid w:val="0"/>
          <w:spacing w:val="0"/>
        </w:rPr>
      </w:pPr>
      <w:r w:rsidRPr="001D0BD1">
        <w:rPr>
          <w:rFonts w:eastAsia="Times New Roman" w:cs="Times New Roman"/>
          <w:snapToGrid w:val="0"/>
          <w:spacing w:val="0"/>
        </w:rPr>
        <w:t xml:space="preserve">Referrals, or consultation, can be made in matters involving uninvestigated applicants or cases in which the background investigation has been completed. Visit </w:t>
      </w:r>
      <w:hyperlink r:id="rId17" w:history="1">
        <w:r w:rsidRPr="00073D27">
          <w:rPr>
            <w:rStyle w:val="Hyperlink"/>
            <w:rFonts w:eastAsia="Times New Roman" w:cs="Times New Roman"/>
            <w:snapToGrid w:val="0"/>
            <w:spacing w:val="0"/>
          </w:rPr>
          <w:t>SuitEA’s</w:t>
        </w:r>
      </w:hyperlink>
      <w:r w:rsidRPr="00073D27">
        <w:rPr>
          <w:rFonts w:eastAsia="Times New Roman" w:cs="Times New Roman"/>
          <w:snapToGrid w:val="0"/>
          <w:spacing w:val="0"/>
        </w:rPr>
        <w:t xml:space="preserve"> website for guidance on how to make a referral or call the SuitEA helpline on 202-599-0090.</w:t>
      </w:r>
    </w:p>
    <w:p w14:paraId="72FA3B8A" w14:textId="6388A0BE" w:rsidR="007729B1" w:rsidRDefault="00250B3A" w:rsidP="005F3135">
      <w:pPr>
        <w:pStyle w:val="Heading2"/>
        <w:spacing w:before="0" w:after="240"/>
      </w:pPr>
      <w:bookmarkStart w:id="49" w:name="_2.2_–_Introduction"/>
      <w:bookmarkStart w:id="50" w:name="_3.4_–_How"/>
      <w:bookmarkStart w:id="51" w:name="_Toc187052944"/>
      <w:bookmarkStart w:id="52" w:name="_Toc187924142"/>
      <w:bookmarkStart w:id="53" w:name="_Toc163721615"/>
      <w:bookmarkEnd w:id="49"/>
      <w:bookmarkEnd w:id="50"/>
      <w:r>
        <w:t>3</w:t>
      </w:r>
      <w:r w:rsidR="007729B1">
        <w:t>.4 – How to Make a Suitability or Fitness Determination</w:t>
      </w:r>
      <w:bookmarkEnd w:id="51"/>
      <w:bookmarkEnd w:id="52"/>
    </w:p>
    <w:p w14:paraId="07B3F4BB" w14:textId="37F6E2C2" w:rsidR="00B176CC" w:rsidRPr="001D0BD1" w:rsidRDefault="00EA1EA7" w:rsidP="009723B4">
      <w:pPr>
        <w:widowControl w:val="0"/>
        <w:rPr>
          <w:rFonts w:eastAsia="Times New Roman" w:cs="Arial"/>
          <w:spacing w:val="0"/>
        </w:rPr>
      </w:pPr>
      <w:r w:rsidRPr="00430371">
        <w:rPr>
          <w:rFonts w:eastAsia="Times New Roman" w:cs="Arial"/>
          <w:spacing w:val="0"/>
        </w:rPr>
        <w:t>When an issue(s) is present in a person’s background, the adjudicator will need to assess the issue(s) to determine its impact on the individual’s suitability. Regardless of the vetting scenario, the process for assessing suitability or fitness is the same. The adjudicative process is an examination of a number of variables of an individual’s life over a sufficient period of time to make an affirmative determination that the individual is suitable</w:t>
      </w:r>
      <w:r w:rsidR="00B176CC" w:rsidRPr="00430371">
        <w:rPr>
          <w:rFonts w:eastAsia="Times New Roman" w:cs="Arial"/>
          <w:spacing w:val="0"/>
        </w:rPr>
        <w:t xml:space="preserve"> or fit</w:t>
      </w:r>
      <w:r w:rsidRPr="00430371">
        <w:rPr>
          <w:rFonts w:eastAsia="Times New Roman" w:cs="Arial"/>
          <w:spacing w:val="0"/>
        </w:rPr>
        <w:t xml:space="preserve">. The process is a tiered approach to making the determination which involves identification of </w:t>
      </w:r>
      <w:r w:rsidR="00B176CC" w:rsidRPr="00430371">
        <w:rPr>
          <w:rFonts w:eastAsia="Times New Roman" w:cs="Arial"/>
          <w:spacing w:val="0"/>
        </w:rPr>
        <w:t>concerning</w:t>
      </w:r>
      <w:r w:rsidRPr="00430371">
        <w:rPr>
          <w:rFonts w:eastAsia="Times New Roman" w:cs="Arial"/>
          <w:spacing w:val="0"/>
        </w:rPr>
        <w:t xml:space="preserve"> conduct as related to the factors</w:t>
      </w:r>
      <w:r w:rsidRPr="001D0BD1">
        <w:rPr>
          <w:rFonts w:eastAsia="Times New Roman" w:cs="Arial"/>
          <w:spacing w:val="0"/>
        </w:rPr>
        <w:t xml:space="preserve"> followed by assessment of the additional considerations</w:t>
      </w:r>
      <w:r w:rsidR="00B176CC" w:rsidRPr="001D0BD1">
        <w:rPr>
          <w:rFonts w:eastAsia="Times New Roman" w:cs="Arial"/>
          <w:spacing w:val="0"/>
        </w:rPr>
        <w:t xml:space="preserve"> </w:t>
      </w:r>
      <w:r w:rsidRPr="001D0BD1">
        <w:rPr>
          <w:rFonts w:eastAsia="Times New Roman" w:cs="Arial"/>
          <w:spacing w:val="0"/>
        </w:rPr>
        <w:t>and evaluation of other relevant information to render a determination. As appropriate, decisions are based on the whole person concept, which means the adjudicator will consider positive and negative aspects from the individual’s background in conclud</w:t>
      </w:r>
      <w:r w:rsidR="00B176CC" w:rsidRPr="001D0BD1">
        <w:rPr>
          <w:rFonts w:eastAsia="Times New Roman" w:cs="Arial"/>
          <w:spacing w:val="0"/>
        </w:rPr>
        <w:t>ing</w:t>
      </w:r>
      <w:r w:rsidRPr="001D0BD1">
        <w:rPr>
          <w:rFonts w:eastAsia="Times New Roman" w:cs="Arial"/>
          <w:spacing w:val="0"/>
        </w:rPr>
        <w:t xml:space="preserve"> if employment will have an adverse impact on the integrity and efficiency of the service. Adjudicators should take into consideration, to the extent possible or reasonable, all available information in the </w:t>
      </w:r>
      <w:r w:rsidR="00B176CC" w:rsidRPr="001D0BD1">
        <w:rPr>
          <w:rFonts w:eastAsia="Times New Roman" w:cs="Arial"/>
          <w:spacing w:val="0"/>
        </w:rPr>
        <w:t>individual</w:t>
      </w:r>
      <w:r w:rsidRPr="001D0BD1">
        <w:rPr>
          <w:rFonts w:eastAsia="Times New Roman" w:cs="Arial"/>
          <w:spacing w:val="0"/>
        </w:rPr>
        <w:t>’s background that may speak to the</w:t>
      </w:r>
      <w:r w:rsidR="00B176CC" w:rsidRPr="001D0BD1">
        <w:rPr>
          <w:rFonts w:eastAsia="Times New Roman" w:cs="Arial"/>
          <w:spacing w:val="0"/>
        </w:rPr>
        <w:t xml:space="preserve">ir </w:t>
      </w:r>
      <w:r w:rsidRPr="001D0BD1">
        <w:rPr>
          <w:rFonts w:eastAsia="Times New Roman" w:cs="Arial"/>
          <w:spacing w:val="0"/>
        </w:rPr>
        <w:t>character. This occurs through the process of assessing the additional considerations. Through this process, many aspects of the individual’s background are evaluated. In some instances, this may lead to mitigation of known conduct. However, in other instances, favorable aspects of the person’s background may not be sufficient to reach a decision that the individual is suitable</w:t>
      </w:r>
      <w:r w:rsidR="00B176CC" w:rsidRPr="001D0BD1">
        <w:rPr>
          <w:rFonts w:eastAsia="Times New Roman" w:cs="Arial"/>
          <w:spacing w:val="0"/>
        </w:rPr>
        <w:t xml:space="preserve"> or fit</w:t>
      </w:r>
      <w:r w:rsidRPr="001D0BD1">
        <w:rPr>
          <w:rFonts w:eastAsia="Times New Roman" w:cs="Arial"/>
          <w:spacing w:val="0"/>
        </w:rPr>
        <w:t xml:space="preserve">. </w:t>
      </w:r>
    </w:p>
    <w:p w14:paraId="6CDF7531" w14:textId="72EC8776" w:rsidR="00EA1EA7" w:rsidRPr="00430371" w:rsidRDefault="00EA1EA7" w:rsidP="009723B4">
      <w:pPr>
        <w:widowControl w:val="0"/>
        <w:spacing w:after="60"/>
        <w:rPr>
          <w:rFonts w:eastAsia="Times New Roman" w:cs="Arial"/>
          <w:spacing w:val="0"/>
        </w:rPr>
      </w:pPr>
      <w:r w:rsidRPr="001D0BD1">
        <w:rPr>
          <w:rFonts w:eastAsia="Times New Roman" w:cs="Arial"/>
          <w:spacing w:val="0"/>
        </w:rPr>
        <w:t xml:space="preserve">The determination of whether one is or is not suitable </w:t>
      </w:r>
      <w:r w:rsidR="00A17764" w:rsidRPr="001D0BD1">
        <w:rPr>
          <w:rFonts w:eastAsia="Times New Roman" w:cs="Arial"/>
          <w:spacing w:val="0"/>
        </w:rPr>
        <w:t xml:space="preserve">or fit </w:t>
      </w:r>
      <w:r w:rsidRPr="001D0BD1">
        <w:rPr>
          <w:rFonts w:eastAsia="Times New Roman" w:cs="Arial"/>
          <w:spacing w:val="0"/>
        </w:rPr>
        <w:t xml:space="preserve">must be an overall </w:t>
      </w:r>
      <w:r w:rsidRPr="00E07F63">
        <w:rPr>
          <w:rFonts w:eastAsia="Times New Roman" w:cs="Arial"/>
          <w:spacing w:val="0"/>
        </w:rPr>
        <w:t>common</w:t>
      </w:r>
      <w:r w:rsidR="00E07F63" w:rsidRPr="00E07F63">
        <w:rPr>
          <w:rFonts w:eastAsia="Times New Roman" w:cs="Arial"/>
          <w:spacing w:val="0"/>
        </w:rPr>
        <w:t>-</w:t>
      </w:r>
      <w:r w:rsidRPr="00E07F63">
        <w:rPr>
          <w:rFonts w:eastAsia="Times New Roman" w:cs="Arial"/>
          <w:spacing w:val="0"/>
        </w:rPr>
        <w:t>sense</w:t>
      </w:r>
      <w:r w:rsidRPr="00430371">
        <w:rPr>
          <w:rFonts w:eastAsia="Times New Roman" w:cs="Arial"/>
          <w:spacing w:val="0"/>
        </w:rPr>
        <w:t xml:space="preserve"> judgment based upon careful consideration of any issue(s) fitting within the following factors found under 5 C</w:t>
      </w:r>
      <w:r w:rsidR="009B4CE5">
        <w:rPr>
          <w:rFonts w:eastAsia="Times New Roman" w:cs="Arial"/>
          <w:spacing w:val="0"/>
        </w:rPr>
        <w:t>.</w:t>
      </w:r>
      <w:r w:rsidRPr="00430371">
        <w:rPr>
          <w:rFonts w:eastAsia="Times New Roman" w:cs="Arial"/>
          <w:spacing w:val="0"/>
        </w:rPr>
        <w:t>F</w:t>
      </w:r>
      <w:r w:rsidR="009B4CE5">
        <w:rPr>
          <w:rFonts w:eastAsia="Times New Roman" w:cs="Arial"/>
          <w:spacing w:val="0"/>
        </w:rPr>
        <w:t>.</w:t>
      </w:r>
      <w:r w:rsidRPr="00430371">
        <w:rPr>
          <w:rFonts w:eastAsia="Times New Roman" w:cs="Arial"/>
          <w:spacing w:val="0"/>
        </w:rPr>
        <w:t>R</w:t>
      </w:r>
      <w:r w:rsidR="009B4CE5">
        <w:rPr>
          <w:rFonts w:eastAsia="Times New Roman" w:cs="Arial"/>
          <w:spacing w:val="0"/>
        </w:rPr>
        <w:t>.</w:t>
      </w:r>
      <w:r w:rsidRPr="00430371">
        <w:rPr>
          <w:rFonts w:eastAsia="Times New Roman" w:cs="Arial"/>
          <w:spacing w:val="0"/>
        </w:rPr>
        <w:t xml:space="preserve"> </w:t>
      </w:r>
      <w:r w:rsidR="4B68DAA8" w:rsidRPr="548D0660">
        <w:rPr>
          <w:rFonts w:eastAsia="Times New Roman" w:cs="Times New Roman"/>
          <w:color w:val="000000" w:themeColor="text1"/>
        </w:rPr>
        <w:t>§</w:t>
      </w:r>
      <w:r w:rsidRPr="00430371">
        <w:rPr>
          <w:rFonts w:eastAsia="Times New Roman" w:cs="Arial"/>
          <w:spacing w:val="0"/>
        </w:rPr>
        <w:t xml:space="preserve"> 731.202. These are the only factors that may be considered in the case of competitive service and career </w:t>
      </w:r>
      <w:r w:rsidRPr="64DB3116">
        <w:rPr>
          <w:rFonts w:eastAsia="Times New Roman" w:cs="Arial"/>
        </w:rPr>
        <w:t>Senior Executive Service</w:t>
      </w:r>
      <w:r w:rsidRPr="00430371">
        <w:rPr>
          <w:rFonts w:eastAsia="Times New Roman" w:cs="Arial"/>
          <w:spacing w:val="0"/>
        </w:rPr>
        <w:t xml:space="preserve"> positions. For excepted service positions, these factors are the minimum factors that agencies must consider</w:t>
      </w:r>
      <w:r w:rsidR="00A17764" w:rsidRPr="00430371">
        <w:rPr>
          <w:rFonts w:eastAsia="Times New Roman" w:cs="Arial"/>
          <w:spacing w:val="0"/>
        </w:rPr>
        <w:t>:</w:t>
      </w:r>
      <w:r w:rsidRPr="00430371">
        <w:rPr>
          <w:rFonts w:eastAsia="Times New Roman" w:cs="Arial"/>
          <w:spacing w:val="0"/>
        </w:rPr>
        <w:t xml:space="preserve"> </w:t>
      </w:r>
    </w:p>
    <w:p w14:paraId="539FC9B8" w14:textId="77777777" w:rsidR="00EA1EA7" w:rsidRPr="00430371" w:rsidRDefault="00EA1EA7" w:rsidP="00A06D8B">
      <w:pPr>
        <w:numPr>
          <w:ilvl w:val="0"/>
          <w:numId w:val="22"/>
        </w:numPr>
        <w:spacing w:after="0"/>
        <w:rPr>
          <w:rFonts w:eastAsia="Calibri" w:cs="Arial"/>
          <w:spacing w:val="0"/>
        </w:rPr>
      </w:pPr>
      <w:r w:rsidRPr="00430371">
        <w:rPr>
          <w:rFonts w:eastAsia="Calibri" w:cs="Arial"/>
          <w:spacing w:val="0"/>
        </w:rPr>
        <w:t xml:space="preserve">Misconduct or negligence in employment; </w:t>
      </w:r>
    </w:p>
    <w:p w14:paraId="340A677E" w14:textId="18C5339A" w:rsidR="00EA1EA7" w:rsidRPr="00430371" w:rsidRDefault="00EA1EA7" w:rsidP="00A06D8B">
      <w:pPr>
        <w:widowControl w:val="0"/>
        <w:numPr>
          <w:ilvl w:val="0"/>
          <w:numId w:val="22"/>
        </w:numPr>
        <w:spacing w:after="0"/>
        <w:rPr>
          <w:rFonts w:eastAsia="Calibri" w:cs="Arial"/>
          <w:spacing w:val="0"/>
        </w:rPr>
      </w:pPr>
      <w:r w:rsidRPr="00430371">
        <w:rPr>
          <w:rFonts w:eastAsia="Calibri" w:cs="Arial"/>
          <w:spacing w:val="0"/>
        </w:rPr>
        <w:t xml:space="preserve">Criminal </w:t>
      </w:r>
      <w:r w:rsidR="00A17764" w:rsidRPr="00430371">
        <w:rPr>
          <w:rFonts w:eastAsia="Calibri" w:cs="Arial"/>
          <w:spacing w:val="0"/>
        </w:rPr>
        <w:t>conduct;</w:t>
      </w:r>
    </w:p>
    <w:p w14:paraId="0E3129D6" w14:textId="77777777" w:rsidR="00EA1EA7" w:rsidRPr="00430371" w:rsidRDefault="00EA1EA7" w:rsidP="00A06D8B">
      <w:pPr>
        <w:widowControl w:val="0"/>
        <w:numPr>
          <w:ilvl w:val="0"/>
          <w:numId w:val="22"/>
        </w:numPr>
        <w:spacing w:after="0"/>
        <w:rPr>
          <w:rFonts w:eastAsia="Calibri" w:cs="Times New Roman"/>
          <w:spacing w:val="0"/>
        </w:rPr>
      </w:pPr>
      <w:r w:rsidRPr="00430371">
        <w:rPr>
          <w:rFonts w:eastAsia="Calibri" w:cs="Times New Roman"/>
          <w:spacing w:val="0"/>
        </w:rPr>
        <w:t xml:space="preserve">Material, intentional false statement, or deception or fraud, in examination or appointment; </w:t>
      </w:r>
    </w:p>
    <w:p w14:paraId="0F1EC126" w14:textId="60596293" w:rsidR="00EA1EA7" w:rsidRPr="00430371" w:rsidRDefault="00EA1EA7" w:rsidP="00A06D8B">
      <w:pPr>
        <w:numPr>
          <w:ilvl w:val="0"/>
          <w:numId w:val="22"/>
        </w:numPr>
        <w:spacing w:after="0"/>
        <w:rPr>
          <w:rFonts w:eastAsia="Calibri" w:cs="Arial"/>
          <w:spacing w:val="0"/>
        </w:rPr>
      </w:pPr>
      <w:r w:rsidRPr="00430371">
        <w:rPr>
          <w:rFonts w:eastAsia="Calibri" w:cs="Times New Roman"/>
          <w:spacing w:val="0"/>
        </w:rPr>
        <w:t>Dishonest conduct</w:t>
      </w:r>
      <w:r w:rsidR="00A17764" w:rsidRPr="00430371">
        <w:rPr>
          <w:rFonts w:eastAsia="Calibri" w:cs="Times New Roman"/>
          <w:spacing w:val="0"/>
        </w:rPr>
        <w:t>;</w:t>
      </w:r>
    </w:p>
    <w:p w14:paraId="29E49072" w14:textId="43F64BDE" w:rsidR="00EA1EA7" w:rsidRPr="00430371" w:rsidRDefault="00EA1EA7" w:rsidP="00A06D8B">
      <w:pPr>
        <w:widowControl w:val="0"/>
        <w:numPr>
          <w:ilvl w:val="0"/>
          <w:numId w:val="22"/>
        </w:numPr>
        <w:spacing w:after="0"/>
        <w:rPr>
          <w:rFonts w:eastAsia="Calibri" w:cs="Arial"/>
          <w:spacing w:val="0"/>
        </w:rPr>
      </w:pPr>
      <w:r w:rsidRPr="00430371">
        <w:rPr>
          <w:rFonts w:eastAsia="Calibri" w:cs="Arial"/>
          <w:spacing w:val="0"/>
        </w:rPr>
        <w:t>Excessive alcohol use, without evidence of rehabilitation, of a nature and duration that suggests the applicant or appointee would be prevented from performing the duties of the position in question, or would constitute a direct threat to the property or safety of the applicant or appointee or others; </w:t>
      </w:r>
    </w:p>
    <w:p w14:paraId="40861D63" w14:textId="77777777" w:rsidR="00EA1EA7" w:rsidRPr="00430371" w:rsidRDefault="00EA1EA7" w:rsidP="00A06D8B">
      <w:pPr>
        <w:widowControl w:val="0"/>
        <w:numPr>
          <w:ilvl w:val="0"/>
          <w:numId w:val="22"/>
        </w:numPr>
        <w:spacing w:after="0"/>
        <w:rPr>
          <w:rFonts w:eastAsia="Calibri" w:cs="Arial"/>
          <w:spacing w:val="0"/>
        </w:rPr>
      </w:pPr>
      <w:r w:rsidRPr="00430371">
        <w:rPr>
          <w:rFonts w:eastAsia="Calibri" w:cs="Times New Roman"/>
          <w:spacing w:val="0"/>
        </w:rPr>
        <w:t>Illegal use of narcotics, drugs, or other controlled substances without evidence of rehabilitation;</w:t>
      </w:r>
    </w:p>
    <w:p w14:paraId="74222CBD" w14:textId="77777777" w:rsidR="00EA1EA7" w:rsidRPr="00430371" w:rsidRDefault="00EA1EA7" w:rsidP="00A06D8B">
      <w:pPr>
        <w:widowControl w:val="0"/>
        <w:numPr>
          <w:ilvl w:val="0"/>
          <w:numId w:val="22"/>
        </w:numPr>
        <w:spacing w:after="0"/>
        <w:rPr>
          <w:rFonts w:eastAsia="Calibri" w:cs="Arial"/>
          <w:spacing w:val="0"/>
        </w:rPr>
      </w:pPr>
      <w:r w:rsidRPr="00430371">
        <w:rPr>
          <w:rFonts w:eastAsia="Calibri" w:cs="Arial"/>
          <w:spacing w:val="0"/>
        </w:rPr>
        <w:t xml:space="preserve">Knowing and willful engagement in acts or activities designed to overthrow the U.S. Government by force; </w:t>
      </w:r>
    </w:p>
    <w:p w14:paraId="5E1B3D54" w14:textId="77777777" w:rsidR="00EA1EA7" w:rsidRPr="00430371" w:rsidRDefault="00EA1EA7" w:rsidP="00A06D8B">
      <w:pPr>
        <w:numPr>
          <w:ilvl w:val="0"/>
          <w:numId w:val="22"/>
        </w:numPr>
        <w:spacing w:after="0"/>
        <w:rPr>
          <w:rFonts w:eastAsia="Calibri" w:cs="Arial"/>
          <w:spacing w:val="0"/>
        </w:rPr>
      </w:pPr>
      <w:r w:rsidRPr="00430371">
        <w:rPr>
          <w:rFonts w:eastAsia="Calibri" w:cs="Arial"/>
          <w:spacing w:val="0"/>
        </w:rPr>
        <w:lastRenderedPageBreak/>
        <w:t>Any statutory or regulatory bar which prevents the lawful employment of the person involved in the position in question; and</w:t>
      </w:r>
    </w:p>
    <w:p w14:paraId="560CA44B" w14:textId="6027941E" w:rsidR="00EA1EA7" w:rsidRPr="00430371" w:rsidRDefault="00EA1EA7" w:rsidP="00A06D8B">
      <w:pPr>
        <w:numPr>
          <w:ilvl w:val="0"/>
          <w:numId w:val="22"/>
        </w:numPr>
        <w:rPr>
          <w:rFonts w:eastAsia="Calibri" w:cs="Arial"/>
          <w:spacing w:val="0"/>
        </w:rPr>
      </w:pPr>
      <w:r w:rsidRPr="00430371">
        <w:rPr>
          <w:rFonts w:eastAsia="Calibri" w:cs="Arial"/>
          <w:spacing w:val="0"/>
        </w:rPr>
        <w:t>Violent Conduct</w:t>
      </w:r>
      <w:r w:rsidR="00A17764" w:rsidRPr="00430371">
        <w:rPr>
          <w:rFonts w:eastAsia="Calibri" w:cs="Arial"/>
          <w:spacing w:val="0"/>
        </w:rPr>
        <w:t>.</w:t>
      </w:r>
    </w:p>
    <w:p w14:paraId="5D5842F5" w14:textId="0A1BE9B4" w:rsidR="007D59EA" w:rsidRPr="00557C24" w:rsidRDefault="00A17764" w:rsidP="00557C24">
      <w:pPr>
        <w:spacing w:after="240"/>
        <w:rPr>
          <w:rStyle w:val="normaltextrun"/>
          <w:rFonts w:eastAsia="Calibri" w:cs="Arial"/>
          <w:spacing w:val="0"/>
        </w:rPr>
      </w:pPr>
      <w:r w:rsidRPr="00430371">
        <w:rPr>
          <w:rFonts w:eastAsia="Calibri" w:cs="Arial"/>
          <w:spacing w:val="0"/>
        </w:rPr>
        <w:t xml:space="preserve">Following is a description of each of the factors including why these types of conduct may present suitability or fitness concerns as well as a discussion of the general applicability. </w:t>
      </w:r>
    </w:p>
    <w:p w14:paraId="03DF7187" w14:textId="63B058F7" w:rsidR="00557C24" w:rsidRDefault="00557C24" w:rsidP="00557C24">
      <w:pPr>
        <w:pStyle w:val="Heading2"/>
        <w:spacing w:before="0" w:after="240"/>
      </w:pPr>
      <w:bookmarkStart w:id="54" w:name="_Toc187052945"/>
      <w:bookmarkStart w:id="55" w:name="_Toc187924143"/>
      <w:r>
        <w:t>3.5 –</w:t>
      </w:r>
      <w:r w:rsidR="000B2ED2">
        <w:t xml:space="preserve"> </w:t>
      </w:r>
      <w:r>
        <w:t>Suitability and Fitness Factors</w:t>
      </w:r>
      <w:bookmarkEnd w:id="54"/>
      <w:bookmarkEnd w:id="55"/>
    </w:p>
    <w:p w14:paraId="735D734C" w14:textId="77777777" w:rsidR="00EA1EA7" w:rsidRPr="0072005B" w:rsidRDefault="00EA1EA7" w:rsidP="0072005B">
      <w:pPr>
        <w:pStyle w:val="Heading3"/>
        <w:rPr>
          <w:u w:val="single"/>
        </w:rPr>
      </w:pPr>
      <w:bookmarkStart w:id="56" w:name="_Toc187052946"/>
      <w:bookmarkStart w:id="57" w:name="_Toc187924144"/>
      <w:r w:rsidRPr="36A80A07">
        <w:rPr>
          <w:u w:val="single"/>
        </w:rPr>
        <w:t>FACTOR 1: MISCONDUCT OR NEGLIGENCE IN EMPLOYMENT</w:t>
      </w:r>
      <w:bookmarkEnd w:id="56"/>
      <w:bookmarkEnd w:id="57"/>
    </w:p>
    <w:p w14:paraId="631D1ED2" w14:textId="77777777" w:rsidR="00EA1EA7" w:rsidRDefault="00EA1EA7" w:rsidP="0072005B">
      <w:pPr>
        <w:pStyle w:val="Heading4"/>
      </w:pPr>
      <w:r w:rsidRPr="02DB6E7A">
        <w:t>Concern</w:t>
      </w:r>
    </w:p>
    <w:p w14:paraId="45876B8D" w14:textId="2B6CF751" w:rsidR="00EA1EA7" w:rsidRDefault="00EA1EA7" w:rsidP="000F35BF">
      <w:pPr>
        <w:spacing w:after="240"/>
        <w:rPr>
          <w:rFonts w:eastAsia="Source Serif Pro" w:cs="Source Serif Pro"/>
          <w:color w:val="000000" w:themeColor="text1"/>
        </w:rPr>
      </w:pPr>
      <w:r w:rsidRPr="02DB6E7A">
        <w:rPr>
          <w:rFonts w:eastAsia="Source Serif Pro" w:cs="Source Serif Pro"/>
          <w:color w:val="000000" w:themeColor="text1"/>
        </w:rPr>
        <w:t>Conduct involving questionable judgment, unreliability, dishonesty, or unwillingness to follow rules or regulations raises questions about whether an individual’s employment or continued employment would adversely impact the integrity or efficiency of the service.</w:t>
      </w:r>
    </w:p>
    <w:p w14:paraId="7735DB42" w14:textId="77777777" w:rsidR="00EA1EA7" w:rsidRDefault="00EA1EA7" w:rsidP="0072005B">
      <w:pPr>
        <w:pStyle w:val="Heading4"/>
      </w:pPr>
      <w:r w:rsidRPr="02DB6E7A">
        <w:t>General Application / Discussion</w:t>
      </w:r>
    </w:p>
    <w:p w14:paraId="6829676A" w14:textId="653E06D8" w:rsidR="00EA1EA7" w:rsidRDefault="00EA1EA7" w:rsidP="00A06D8B">
      <w:pPr>
        <w:pStyle w:val="ListParagraph"/>
        <w:numPr>
          <w:ilvl w:val="0"/>
          <w:numId w:val="45"/>
        </w:numPr>
        <w:spacing w:after="0"/>
        <w:contextualSpacing w:val="0"/>
        <w:rPr>
          <w:rFonts w:eastAsia="Source Serif Pro" w:cs="Source Serif Pro"/>
          <w:color w:val="000000" w:themeColor="text1"/>
        </w:rPr>
      </w:pPr>
      <w:r w:rsidRPr="02DB6E7A">
        <w:rPr>
          <w:rFonts w:eastAsia="Source Serif Pro" w:cs="Source Serif Pro"/>
          <w:color w:val="000000" w:themeColor="text1"/>
        </w:rPr>
        <w:t xml:space="preserve">Misconduct involves intentionally doing something wrong in the employer’s estimation, while negligence is an act or omission that a </w:t>
      </w:r>
      <w:r w:rsidR="003A5302">
        <w:rPr>
          <w:rFonts w:eastAsia="Source Serif Pro" w:cs="Source Serif Pro"/>
          <w:color w:val="000000" w:themeColor="text1"/>
        </w:rPr>
        <w:t xml:space="preserve">reasonable </w:t>
      </w:r>
      <w:r w:rsidRPr="02DB6E7A">
        <w:rPr>
          <w:rFonts w:eastAsia="Source Serif Pro" w:cs="Source Serif Pro"/>
          <w:color w:val="000000" w:themeColor="text1"/>
        </w:rPr>
        <w:t>person in the employee’s circumstances should know is contrary to the employer’s expectations. For example, repeated unexcused absences or using a company vehicle to run personal errands while on the clock are examples of misconduct whereas accidentally failing to turn on the security system upon being the last to leave is an example of negligence.</w:t>
      </w:r>
    </w:p>
    <w:p w14:paraId="177131D7" w14:textId="77777777" w:rsidR="00EA1EA7" w:rsidRDefault="00EA1EA7" w:rsidP="00A06D8B">
      <w:pPr>
        <w:pStyle w:val="ListParagraph"/>
        <w:numPr>
          <w:ilvl w:val="0"/>
          <w:numId w:val="45"/>
        </w:numPr>
        <w:spacing w:after="0"/>
        <w:contextualSpacing w:val="0"/>
        <w:rPr>
          <w:rFonts w:eastAsia="Source Serif Pro" w:cs="Source Serif Pro"/>
          <w:color w:val="000000" w:themeColor="text1"/>
        </w:rPr>
      </w:pPr>
      <w:r w:rsidRPr="02DB6E7A">
        <w:rPr>
          <w:rFonts w:eastAsia="Source Serif Pro" w:cs="Source Serif Pro"/>
          <w:color w:val="000000" w:themeColor="text1"/>
        </w:rPr>
        <w:t>Conduct may or may not have resulted in a disciplinary action, including dismissal. If dismissed, primary emphasis is on the act or conduct which prompted the dismissal.</w:t>
      </w:r>
    </w:p>
    <w:p w14:paraId="6C91C0E5" w14:textId="77777777" w:rsidR="00EA1EA7" w:rsidRDefault="00EA1EA7" w:rsidP="00A06D8B">
      <w:pPr>
        <w:pStyle w:val="ListParagraph"/>
        <w:numPr>
          <w:ilvl w:val="0"/>
          <w:numId w:val="45"/>
        </w:numPr>
        <w:spacing w:after="0"/>
        <w:contextualSpacing w:val="0"/>
        <w:rPr>
          <w:rFonts w:eastAsia="Source Serif Pro" w:cs="Source Serif Pro"/>
          <w:color w:val="000000" w:themeColor="text1"/>
        </w:rPr>
      </w:pPr>
      <w:r w:rsidRPr="02DB6E7A">
        <w:rPr>
          <w:rFonts w:eastAsia="Source Serif Pro" w:cs="Source Serif Pro"/>
          <w:color w:val="000000" w:themeColor="text1"/>
        </w:rPr>
        <w:t>For military misconduct, the nature of the misconduct is the governing guideline, rather than the type of discharge.</w:t>
      </w:r>
    </w:p>
    <w:p w14:paraId="2EA20F72" w14:textId="77777777" w:rsidR="00EA1EA7" w:rsidRDefault="00EA1EA7" w:rsidP="00A06D8B">
      <w:pPr>
        <w:pStyle w:val="ListParagraph"/>
        <w:numPr>
          <w:ilvl w:val="0"/>
          <w:numId w:val="45"/>
        </w:numPr>
        <w:spacing w:after="0"/>
        <w:contextualSpacing w:val="0"/>
        <w:rPr>
          <w:rFonts w:eastAsia="Source Serif Pro" w:cs="Source Serif Pro"/>
          <w:color w:val="000000" w:themeColor="text1"/>
        </w:rPr>
      </w:pPr>
      <w:r w:rsidRPr="02DB6E7A">
        <w:rPr>
          <w:rFonts w:eastAsia="Source Serif Pro" w:cs="Source Serif Pro"/>
          <w:color w:val="000000" w:themeColor="text1"/>
        </w:rPr>
        <w:t>A favorable litigation decision, including receiving unemployment benefits, would not necessarily nullify the conduct.</w:t>
      </w:r>
    </w:p>
    <w:p w14:paraId="23A2BF03" w14:textId="31609F39" w:rsidR="000F35BF" w:rsidRPr="003B5E21" w:rsidRDefault="00EA1EA7" w:rsidP="00B176CC">
      <w:pPr>
        <w:pStyle w:val="ListParagraph"/>
        <w:numPr>
          <w:ilvl w:val="0"/>
          <w:numId w:val="45"/>
        </w:numPr>
        <w:spacing w:after="0"/>
        <w:contextualSpacing w:val="0"/>
        <w:rPr>
          <w:rFonts w:eastAsia="Source Serif Pro" w:cs="Source Serif Pro"/>
          <w:color w:val="000000" w:themeColor="text1"/>
        </w:rPr>
      </w:pPr>
      <w:r w:rsidRPr="02DB6E7A">
        <w:rPr>
          <w:rFonts w:eastAsia="Source Serif Pro" w:cs="Source Serif Pro"/>
          <w:color w:val="000000" w:themeColor="text1"/>
        </w:rPr>
        <w:t>Conduct does not include performance (</w:t>
      </w:r>
      <w:r w:rsidR="003A5302">
        <w:rPr>
          <w:rFonts w:eastAsia="Source Serif Pro" w:cs="Source Serif Pro"/>
          <w:color w:val="000000" w:themeColor="text1"/>
        </w:rPr>
        <w:t xml:space="preserve">or </w:t>
      </w:r>
      <w:r w:rsidRPr="02DB6E7A">
        <w:rPr>
          <w:rFonts w:eastAsia="Source Serif Pro" w:cs="Source Serif Pro"/>
          <w:color w:val="000000" w:themeColor="text1"/>
        </w:rPr>
        <w:t>inability to perform), failure to complete training, or other qualification issues.</w:t>
      </w:r>
    </w:p>
    <w:p w14:paraId="07B3BF32" w14:textId="77777777" w:rsidR="00EA1EA7" w:rsidRDefault="00EA1EA7" w:rsidP="0072005B">
      <w:pPr>
        <w:pStyle w:val="Heading4"/>
      </w:pPr>
      <w:r w:rsidRPr="02DB6E7A">
        <w:t>Potential Suitability/Fitness Concerns</w:t>
      </w:r>
    </w:p>
    <w:p w14:paraId="15BA95C4" w14:textId="77777777" w:rsidR="00EA1EA7" w:rsidRDefault="00EA1EA7" w:rsidP="000F35BF">
      <w:pPr>
        <w:spacing w:after="60"/>
        <w:rPr>
          <w:rFonts w:eastAsia="Source Serif Pro" w:cs="Source Serif Pro"/>
          <w:color w:val="000000" w:themeColor="text1"/>
        </w:rPr>
      </w:pPr>
      <w:r w:rsidRPr="02DB6E7A">
        <w:rPr>
          <w:rFonts w:eastAsia="Source Serif Pro" w:cs="Source Serif Pro"/>
          <w:b/>
          <w:bCs/>
          <w:i/>
          <w:iCs/>
          <w:color w:val="000000" w:themeColor="text1"/>
        </w:rPr>
        <w:t>Examples of conditions that could raise a concern and may lead to an unfavorable determination include:</w:t>
      </w:r>
    </w:p>
    <w:p w14:paraId="32104750" w14:textId="77777777" w:rsidR="00EA1EA7" w:rsidRDefault="00EA1EA7" w:rsidP="00A06D8B">
      <w:pPr>
        <w:pStyle w:val="ListParagraph"/>
        <w:numPr>
          <w:ilvl w:val="0"/>
          <w:numId w:val="47"/>
        </w:numPr>
        <w:spacing w:after="0"/>
        <w:contextualSpacing w:val="0"/>
        <w:rPr>
          <w:rFonts w:eastAsia="Source Serif Pro" w:cs="Source Serif Pro"/>
          <w:color w:val="000000" w:themeColor="text1"/>
        </w:rPr>
      </w:pPr>
      <w:r w:rsidRPr="02DB6E7A">
        <w:rPr>
          <w:rFonts w:eastAsia="Source Serif Pro" w:cs="Source Serif Pro"/>
          <w:color w:val="000000" w:themeColor="text1"/>
        </w:rPr>
        <w:t>Conduct considered inherent to employment such as attendance issues without cause and/or insubordination.</w:t>
      </w:r>
    </w:p>
    <w:p w14:paraId="358C8A00" w14:textId="77777777" w:rsidR="00EA1EA7" w:rsidRDefault="00EA1EA7" w:rsidP="00A06D8B">
      <w:pPr>
        <w:pStyle w:val="ListParagraph"/>
        <w:numPr>
          <w:ilvl w:val="0"/>
          <w:numId w:val="47"/>
        </w:numPr>
        <w:spacing w:after="0"/>
        <w:contextualSpacing w:val="0"/>
        <w:rPr>
          <w:rFonts w:eastAsia="Source Serif Pro" w:cs="Source Serif Pro"/>
          <w:color w:val="000000" w:themeColor="text1"/>
        </w:rPr>
      </w:pPr>
      <w:r w:rsidRPr="02DB6E7A">
        <w:rPr>
          <w:rFonts w:eastAsia="Source Serif Pro" w:cs="Source Serif Pro"/>
          <w:color w:val="000000" w:themeColor="text1"/>
        </w:rPr>
        <w:t>Breach of employer’s trust.</w:t>
      </w:r>
    </w:p>
    <w:p w14:paraId="6B96F5D8" w14:textId="77777777" w:rsidR="00EA1EA7" w:rsidRDefault="00EA1EA7" w:rsidP="00A06D8B">
      <w:pPr>
        <w:pStyle w:val="ListParagraph"/>
        <w:numPr>
          <w:ilvl w:val="0"/>
          <w:numId w:val="47"/>
        </w:numPr>
        <w:spacing w:after="0"/>
        <w:contextualSpacing w:val="0"/>
        <w:rPr>
          <w:rFonts w:eastAsia="Source Serif Pro" w:cs="Source Serif Pro"/>
          <w:color w:val="000000" w:themeColor="text1"/>
        </w:rPr>
      </w:pPr>
      <w:r w:rsidRPr="02DB6E7A">
        <w:rPr>
          <w:rFonts w:eastAsia="Source Serif Pro" w:cs="Source Serif Pro"/>
          <w:color w:val="000000" w:themeColor="text1"/>
        </w:rPr>
        <w:t>Misuse of employer’s information technology system as defined by employer’s rules, procedures, guidelines, or other regulations.</w:t>
      </w:r>
    </w:p>
    <w:p w14:paraId="19624320" w14:textId="77777777" w:rsidR="00EA1EA7" w:rsidRDefault="00EA1EA7" w:rsidP="00A06D8B">
      <w:pPr>
        <w:pStyle w:val="ListParagraph"/>
        <w:numPr>
          <w:ilvl w:val="0"/>
          <w:numId w:val="47"/>
        </w:numPr>
        <w:spacing w:after="0"/>
        <w:contextualSpacing w:val="0"/>
        <w:rPr>
          <w:rFonts w:eastAsia="Source Serif Pro" w:cs="Source Serif Pro"/>
          <w:color w:val="000000" w:themeColor="text1"/>
        </w:rPr>
      </w:pPr>
      <w:r w:rsidRPr="02DB6E7A">
        <w:rPr>
          <w:rFonts w:eastAsia="Source Serif Pro" w:cs="Source Serif Pro"/>
          <w:color w:val="000000" w:themeColor="text1"/>
        </w:rPr>
        <w:t>Several minor infractions, that when viewed as a whole call into question the individual’s judgment, reliability, honesty, or willingness to follow rules and regulations.</w:t>
      </w:r>
    </w:p>
    <w:p w14:paraId="69B5EC94" w14:textId="77777777" w:rsidR="00EA1EA7" w:rsidRDefault="00EA1EA7" w:rsidP="00A06D8B">
      <w:pPr>
        <w:pStyle w:val="ListParagraph"/>
        <w:numPr>
          <w:ilvl w:val="0"/>
          <w:numId w:val="47"/>
        </w:numPr>
        <w:spacing w:after="0"/>
        <w:contextualSpacing w:val="0"/>
        <w:rPr>
          <w:rFonts w:eastAsia="Source Serif Pro" w:cs="Source Serif Pro"/>
          <w:color w:val="000000" w:themeColor="text1"/>
        </w:rPr>
      </w:pPr>
      <w:r w:rsidRPr="02DB6E7A">
        <w:rPr>
          <w:rFonts w:eastAsia="Source Serif Pro" w:cs="Source Serif Pro"/>
          <w:color w:val="000000" w:themeColor="text1"/>
        </w:rPr>
        <w:lastRenderedPageBreak/>
        <w:t>Employment history shows a pattern of rule violations.</w:t>
      </w:r>
    </w:p>
    <w:p w14:paraId="6B660EE5" w14:textId="747FA871" w:rsidR="00D32294" w:rsidRPr="000F35BF" w:rsidRDefault="009D026B" w:rsidP="00A06D8B">
      <w:pPr>
        <w:pStyle w:val="ListParagraph"/>
        <w:numPr>
          <w:ilvl w:val="0"/>
          <w:numId w:val="47"/>
        </w:numPr>
        <w:contextualSpacing w:val="0"/>
        <w:rPr>
          <w:rFonts w:eastAsia="Source Serif Pro" w:cs="Source Serif Pro"/>
          <w:color w:val="000000" w:themeColor="text1"/>
        </w:rPr>
      </w:pPr>
      <w:r w:rsidRPr="02DB6E7A">
        <w:rPr>
          <w:rFonts w:eastAsia="Source Serif Pro" w:cs="Source Serif Pro"/>
          <w:color w:val="000000" w:themeColor="text1"/>
        </w:rPr>
        <w:t xml:space="preserve">Pending </w:t>
      </w:r>
      <w:r>
        <w:rPr>
          <w:rFonts w:eastAsia="Source Serif Pro" w:cs="Source Serif Pro"/>
          <w:color w:val="000000" w:themeColor="text1"/>
        </w:rPr>
        <w:t xml:space="preserve">litigation involving employment misconduct or negligence that may be adjudicatively relevant </w:t>
      </w:r>
      <w:r w:rsidRPr="02DB6E7A">
        <w:rPr>
          <w:rFonts w:eastAsia="Source Serif Pro" w:cs="Source Serif Pro"/>
          <w:color w:val="000000" w:themeColor="text1"/>
        </w:rPr>
        <w:t>cannot be adjudicated until the case is disposed.</w:t>
      </w:r>
      <w:r>
        <w:rPr>
          <w:rFonts w:eastAsia="Source Serif Pro" w:cs="Source Serif Pro"/>
          <w:color w:val="000000" w:themeColor="text1"/>
        </w:rPr>
        <w:t xml:space="preserve"> However, agencies may determine the appropriateness of making a risk-based decision to grant an exception</w:t>
      </w:r>
      <w:r w:rsidR="00EA1303">
        <w:rPr>
          <w:rFonts w:eastAsia="Source Serif Pro" w:cs="Source Serif Pro"/>
          <w:color w:val="000000" w:themeColor="text1"/>
        </w:rPr>
        <w:t>.</w:t>
      </w:r>
      <w:r>
        <w:rPr>
          <w:rFonts w:eastAsia="Source Serif Pro" w:cs="Source Serif Pro"/>
          <w:color w:val="000000" w:themeColor="text1"/>
        </w:rPr>
        <w:t xml:space="preserve"> (</w:t>
      </w:r>
      <w:r w:rsidR="00EA1303">
        <w:rPr>
          <w:rFonts w:eastAsia="Source Serif Pro" w:cs="Source Serif Pro"/>
          <w:color w:val="000000" w:themeColor="text1"/>
        </w:rPr>
        <w:t>S</w:t>
      </w:r>
      <w:r>
        <w:rPr>
          <w:rFonts w:eastAsia="Source Serif Pro" w:cs="Source Serif Pro"/>
          <w:color w:val="000000" w:themeColor="text1"/>
        </w:rPr>
        <w:t xml:space="preserve">ee guidance in </w:t>
      </w:r>
      <w:r w:rsidR="003A5302">
        <w:rPr>
          <w:rFonts w:eastAsia="Source Serif Pro" w:cs="Source Serif Pro"/>
          <w:color w:val="000000" w:themeColor="text1"/>
        </w:rPr>
        <w:t xml:space="preserve">Volume 2 </w:t>
      </w:r>
      <w:r>
        <w:rPr>
          <w:rFonts w:eastAsia="Source Serif Pro" w:cs="Source Serif Pro"/>
          <w:color w:val="000000" w:themeColor="text1"/>
        </w:rPr>
        <w:t xml:space="preserve">of this Manual and the </w:t>
      </w:r>
      <w:r w:rsidRPr="00B404BD">
        <w:rPr>
          <w:rFonts w:ascii="Source Sans Pro" w:eastAsia="Times New Roman" w:hAnsi="Source Sans Pro" w:cs="Sans Serif Collection"/>
          <w:b/>
          <w:bCs/>
          <w:spacing w:val="0"/>
        </w:rPr>
        <w:t>Common Principles in Applying Federal Personnel Vetting Adjudicative Standard</w:t>
      </w:r>
      <w:r w:rsidR="0012376D">
        <w:rPr>
          <w:rFonts w:ascii="Source Sans Pro" w:eastAsia="Times New Roman" w:hAnsi="Source Sans Pro" w:cs="Sans Serif Collection"/>
          <w:b/>
          <w:bCs/>
          <w:spacing w:val="0"/>
        </w:rPr>
        <w:t>.</w:t>
      </w:r>
      <w:r>
        <w:rPr>
          <w:rFonts w:ascii="Source Sans Pro" w:eastAsia="Times New Roman" w:hAnsi="Source Sans Pro" w:cs="Sans Serif Collection"/>
          <w:b/>
          <w:bCs/>
          <w:spacing w:val="0"/>
        </w:rPr>
        <w:t>)</w:t>
      </w:r>
    </w:p>
    <w:p w14:paraId="0341CE53" w14:textId="77777777" w:rsidR="00EA1EA7" w:rsidRDefault="00EA1EA7" w:rsidP="0072005B">
      <w:pPr>
        <w:pStyle w:val="Heading4"/>
      </w:pPr>
      <w:r w:rsidRPr="02DB6E7A">
        <w:t xml:space="preserve">Mitigating Conditions </w:t>
      </w:r>
    </w:p>
    <w:p w14:paraId="0E94F07D" w14:textId="77777777" w:rsidR="00EA1EA7" w:rsidRDefault="00EA1EA7" w:rsidP="000F35BF">
      <w:pPr>
        <w:spacing w:after="60"/>
        <w:rPr>
          <w:rFonts w:eastAsia="Source Serif Pro" w:cs="Source Serif Pro"/>
          <w:b/>
          <w:bCs/>
          <w:i/>
          <w:iCs/>
          <w:color w:val="000000" w:themeColor="text1"/>
        </w:rPr>
      </w:pPr>
      <w:r w:rsidRPr="02DB6E7A">
        <w:rPr>
          <w:rFonts w:eastAsia="Source Serif Pro" w:cs="Source Serif Pro"/>
          <w:b/>
          <w:bCs/>
          <w:i/>
          <w:iCs/>
          <w:color w:val="000000" w:themeColor="text1"/>
        </w:rPr>
        <w:t>Examples of conditions that could mitigate concerns, as determined by applying pertinent additional considerations:</w:t>
      </w:r>
    </w:p>
    <w:p w14:paraId="02DAB6F2" w14:textId="77777777" w:rsidR="00EA1EA7" w:rsidRDefault="00EA1EA7" w:rsidP="00A06D8B">
      <w:pPr>
        <w:pStyle w:val="ListParagraph"/>
        <w:numPr>
          <w:ilvl w:val="0"/>
          <w:numId w:val="46"/>
        </w:numPr>
        <w:spacing w:after="0"/>
        <w:contextualSpacing w:val="0"/>
        <w:rPr>
          <w:rFonts w:eastAsia="Source Serif Pro" w:cs="Source Serif Pro"/>
          <w:color w:val="000000" w:themeColor="text1"/>
        </w:rPr>
      </w:pPr>
      <w:r w:rsidRPr="02DB6E7A">
        <w:rPr>
          <w:rFonts w:eastAsia="Source Serif Pro" w:cs="Source Serif Pro"/>
          <w:color w:val="000000" w:themeColor="text1"/>
        </w:rPr>
        <w:t>The conduct is minor.</w:t>
      </w:r>
    </w:p>
    <w:p w14:paraId="1BA909A1" w14:textId="77777777" w:rsidR="00EA1EA7" w:rsidRDefault="00EA1EA7" w:rsidP="00A06D8B">
      <w:pPr>
        <w:pStyle w:val="ListParagraph"/>
        <w:numPr>
          <w:ilvl w:val="0"/>
          <w:numId w:val="46"/>
        </w:numPr>
        <w:spacing w:after="0"/>
        <w:contextualSpacing w:val="0"/>
        <w:rPr>
          <w:rFonts w:eastAsia="Source Serif Pro" w:cs="Source Serif Pro"/>
          <w:color w:val="000000" w:themeColor="text1"/>
        </w:rPr>
      </w:pPr>
      <w:r w:rsidRPr="02DB6E7A">
        <w:rPr>
          <w:rFonts w:eastAsia="Source Serif Pro" w:cs="Source Serif Pro"/>
          <w:color w:val="000000" w:themeColor="text1"/>
        </w:rPr>
        <w:t>So much time has passed since the conduct.</w:t>
      </w:r>
    </w:p>
    <w:p w14:paraId="3EE3234F" w14:textId="77777777" w:rsidR="00EA1EA7" w:rsidRDefault="00EA1EA7" w:rsidP="00A06D8B">
      <w:pPr>
        <w:pStyle w:val="ListParagraph"/>
        <w:numPr>
          <w:ilvl w:val="0"/>
          <w:numId w:val="46"/>
        </w:numPr>
        <w:spacing w:after="0"/>
        <w:contextualSpacing w:val="0"/>
        <w:rPr>
          <w:rFonts w:eastAsia="Source Serif Pro" w:cs="Source Serif Pro"/>
          <w:color w:val="000000" w:themeColor="text1"/>
        </w:rPr>
      </w:pPr>
      <w:r w:rsidRPr="02DB6E7A">
        <w:rPr>
          <w:rFonts w:eastAsia="Source Serif Pro" w:cs="Source Serif Pro"/>
          <w:color w:val="000000" w:themeColor="text1"/>
        </w:rPr>
        <w:t>The behavior was infrequent.</w:t>
      </w:r>
    </w:p>
    <w:p w14:paraId="2ACE528F" w14:textId="55D8636E" w:rsidR="00EA1EA7" w:rsidRDefault="00EA1EA7" w:rsidP="00A06D8B">
      <w:pPr>
        <w:pStyle w:val="ListParagraph"/>
        <w:numPr>
          <w:ilvl w:val="0"/>
          <w:numId w:val="46"/>
        </w:numPr>
        <w:spacing w:after="0"/>
        <w:contextualSpacing w:val="0"/>
        <w:rPr>
          <w:rFonts w:eastAsia="Source Serif Pro" w:cs="Source Serif Pro"/>
          <w:color w:val="000000" w:themeColor="text1"/>
        </w:rPr>
      </w:pPr>
      <w:r w:rsidRPr="02DB6E7A">
        <w:rPr>
          <w:rFonts w:eastAsia="Source Serif Pro" w:cs="Source Serif Pro"/>
          <w:color w:val="000000" w:themeColor="text1"/>
        </w:rPr>
        <w:t xml:space="preserve">The conduct happened under such unique circumstances that it is unlikely to recur and does not cast doubt on the individual’s character or suggest the individual’s employment would adversely impact the integrity or efficiency of the service. </w:t>
      </w:r>
    </w:p>
    <w:p w14:paraId="48420F04" w14:textId="4CB1C535" w:rsidR="00EA1EA7" w:rsidRDefault="00EA1EA7" w:rsidP="00A06D8B">
      <w:pPr>
        <w:pStyle w:val="ListParagraph"/>
        <w:numPr>
          <w:ilvl w:val="0"/>
          <w:numId w:val="46"/>
        </w:numPr>
        <w:spacing w:after="0"/>
        <w:contextualSpacing w:val="0"/>
        <w:rPr>
          <w:rFonts w:eastAsia="Source Serif Pro" w:cs="Source Serif Pro"/>
          <w:color w:val="000000" w:themeColor="text1"/>
        </w:rPr>
      </w:pPr>
      <w:r w:rsidRPr="02DB6E7A">
        <w:rPr>
          <w:rFonts w:eastAsia="Source Serif Pro" w:cs="Source Serif Pro"/>
          <w:color w:val="000000" w:themeColor="text1"/>
        </w:rPr>
        <w:t xml:space="preserve">There exists no increased concern based on the authority, responsibility, sensitivity, and public trust associated with the position or a direct nexus to the core duties of the position or agency mission. </w:t>
      </w:r>
    </w:p>
    <w:p w14:paraId="2946E8D7" w14:textId="77777777" w:rsidR="00EA1EA7" w:rsidRDefault="00EA1EA7" w:rsidP="00A06D8B">
      <w:pPr>
        <w:pStyle w:val="ListParagraph"/>
        <w:numPr>
          <w:ilvl w:val="0"/>
          <w:numId w:val="46"/>
        </w:numPr>
        <w:spacing w:after="0"/>
        <w:contextualSpacing w:val="0"/>
        <w:rPr>
          <w:rFonts w:eastAsia="Source Serif Pro" w:cs="Source Serif Pro"/>
          <w:color w:val="000000" w:themeColor="text1"/>
        </w:rPr>
      </w:pPr>
      <w:r w:rsidRPr="02DB6E7A">
        <w:rPr>
          <w:rFonts w:eastAsia="Source Serif Pro" w:cs="Source Serif Pro"/>
          <w:color w:val="000000" w:themeColor="text1"/>
        </w:rPr>
        <w:t>There is reasonable belief that the individual unknowingly engaged in conduct that was wrong or negligent, and intentional prompt corrective efforts by the individual followed.</w:t>
      </w:r>
    </w:p>
    <w:p w14:paraId="5649AE1B" w14:textId="40725F6C" w:rsidR="00825942" w:rsidRPr="00E94524" w:rsidRDefault="00EA1EA7" w:rsidP="00825942">
      <w:pPr>
        <w:pStyle w:val="ListParagraph"/>
        <w:numPr>
          <w:ilvl w:val="0"/>
          <w:numId w:val="46"/>
        </w:numPr>
        <w:contextualSpacing w:val="0"/>
        <w:rPr>
          <w:rFonts w:eastAsia="Source Serif Pro" w:cs="Source Serif Pro"/>
          <w:color w:val="000000" w:themeColor="text1"/>
        </w:rPr>
      </w:pPr>
      <w:r w:rsidRPr="02DB6E7A">
        <w:rPr>
          <w:rFonts w:eastAsia="Source Serif Pro" w:cs="Source Serif Pro"/>
          <w:color w:val="000000" w:themeColor="text1"/>
        </w:rPr>
        <w:t>There is evidence of successful rehabilitation; including, but not limited to, passage of time without reoccurrence of employment misconduct or negligence, compliance with terms of employment improvement plan, job training or good employment record.</w:t>
      </w:r>
    </w:p>
    <w:p w14:paraId="04D3CD0C" w14:textId="77777777" w:rsidR="00EA1EA7" w:rsidRPr="0072005B" w:rsidRDefault="00EA1EA7" w:rsidP="0072005B">
      <w:pPr>
        <w:pStyle w:val="Heading3"/>
        <w:rPr>
          <w:u w:val="single"/>
        </w:rPr>
      </w:pPr>
      <w:bookmarkStart w:id="58" w:name="_Toc187052947"/>
      <w:bookmarkStart w:id="59" w:name="_Toc187924145"/>
      <w:r w:rsidRPr="36A80A07">
        <w:rPr>
          <w:u w:val="single"/>
        </w:rPr>
        <w:t>FACTOR 2: CRIMINAL CONDUCT</w:t>
      </w:r>
      <w:bookmarkEnd w:id="58"/>
      <w:bookmarkEnd w:id="59"/>
    </w:p>
    <w:p w14:paraId="4C6DF9F5" w14:textId="77777777" w:rsidR="00EA1EA7" w:rsidRDefault="00EA1EA7" w:rsidP="0072005B">
      <w:pPr>
        <w:pStyle w:val="Heading4"/>
      </w:pPr>
      <w:r w:rsidRPr="02DB6E7A">
        <w:t>Concern</w:t>
      </w:r>
    </w:p>
    <w:p w14:paraId="047BDCBF" w14:textId="6D831ECA" w:rsidR="00D32294" w:rsidRDefault="00EA1EA7" w:rsidP="008503AB">
      <w:pPr>
        <w:rPr>
          <w:rFonts w:eastAsia="Source Serif Pro" w:cs="Source Serif Pro"/>
          <w:color w:val="000000" w:themeColor="text1"/>
        </w:rPr>
      </w:pPr>
      <w:r w:rsidRPr="02DB6E7A">
        <w:rPr>
          <w:rFonts w:eastAsia="Source Serif Pro" w:cs="Source Serif Pro"/>
          <w:color w:val="000000" w:themeColor="text1"/>
        </w:rPr>
        <w:t>Criminal conduct creates doubt about an individual’s judgment, reliability, and trustworthiness and calls into question an individual’s willingness to comply with laws, rules, and regulation. This type of conduct may not promote the efficiency of the service or protect its integrity.</w:t>
      </w:r>
    </w:p>
    <w:p w14:paraId="54AD1F42" w14:textId="77777777" w:rsidR="00EA1EA7" w:rsidRDefault="00EA1EA7" w:rsidP="0072005B">
      <w:pPr>
        <w:pStyle w:val="Heading4"/>
      </w:pPr>
      <w:r w:rsidRPr="02DB6E7A">
        <w:t>General Application / Discussion</w:t>
      </w:r>
    </w:p>
    <w:p w14:paraId="1094FAD3" w14:textId="77777777" w:rsidR="00EA1EA7" w:rsidRPr="00897DD0" w:rsidRDefault="00EA1EA7" w:rsidP="00A06D8B">
      <w:pPr>
        <w:pStyle w:val="ListParagraph"/>
        <w:numPr>
          <w:ilvl w:val="0"/>
          <w:numId w:val="43"/>
        </w:numPr>
        <w:spacing w:after="0"/>
        <w:contextualSpacing w:val="0"/>
        <w:rPr>
          <w:rFonts w:eastAsia="Source Serif Pro" w:cs="Source Serif Pro"/>
          <w:color w:val="000000" w:themeColor="text1"/>
        </w:rPr>
      </w:pPr>
      <w:r w:rsidRPr="00897DD0">
        <w:rPr>
          <w:rFonts w:eastAsia="Source Serif Pro" w:cs="Source Serif Pro"/>
          <w:color w:val="000000" w:themeColor="text1"/>
        </w:rPr>
        <w:t>Criminal conduct could include, but is not limited to:</w:t>
      </w:r>
    </w:p>
    <w:p w14:paraId="3E672DF2" w14:textId="1ED03427" w:rsidR="00EA1EA7" w:rsidRPr="00897DD0" w:rsidRDefault="00EA1EA7" w:rsidP="00A06D8B">
      <w:pPr>
        <w:pStyle w:val="ListParagraph"/>
        <w:numPr>
          <w:ilvl w:val="1"/>
          <w:numId w:val="43"/>
        </w:numPr>
        <w:spacing w:after="0"/>
        <w:contextualSpacing w:val="0"/>
        <w:rPr>
          <w:rFonts w:eastAsia="Source Serif Pro" w:cs="Source Serif Pro"/>
          <w:color w:val="000000" w:themeColor="text1"/>
        </w:rPr>
      </w:pPr>
      <w:r w:rsidRPr="00897DD0">
        <w:rPr>
          <w:rFonts w:eastAsia="Source Serif Pro" w:cs="Source Serif Pro"/>
          <w:color w:val="000000" w:themeColor="text1"/>
        </w:rPr>
        <w:t>Offenses involving danger to a person</w:t>
      </w:r>
      <w:r w:rsidR="00D32294" w:rsidRPr="00897DD0">
        <w:rPr>
          <w:rFonts w:eastAsia="Source Serif Pro" w:cs="Source Serif Pro"/>
          <w:color w:val="000000" w:themeColor="text1"/>
        </w:rPr>
        <w:t>.</w:t>
      </w:r>
    </w:p>
    <w:p w14:paraId="175A66B9" w14:textId="346D7F72" w:rsidR="00EA1EA7" w:rsidRPr="00897DD0" w:rsidRDefault="00EA1EA7" w:rsidP="00A06D8B">
      <w:pPr>
        <w:pStyle w:val="ListParagraph"/>
        <w:numPr>
          <w:ilvl w:val="1"/>
          <w:numId w:val="43"/>
        </w:numPr>
        <w:spacing w:after="0"/>
        <w:contextualSpacing w:val="0"/>
        <w:rPr>
          <w:rFonts w:eastAsia="Source Serif Pro" w:cs="Source Serif Pro"/>
          <w:color w:val="000000" w:themeColor="text1"/>
        </w:rPr>
      </w:pPr>
      <w:r w:rsidRPr="00897DD0">
        <w:rPr>
          <w:rFonts w:eastAsia="Source Serif Pro" w:cs="Source Serif Pro"/>
          <w:color w:val="000000" w:themeColor="text1"/>
        </w:rPr>
        <w:t>Sexual behavior of a criminal nature</w:t>
      </w:r>
      <w:r w:rsidR="00D32294" w:rsidRPr="00897DD0">
        <w:rPr>
          <w:rFonts w:eastAsia="Source Serif Pro" w:cs="Source Serif Pro"/>
          <w:color w:val="000000" w:themeColor="text1"/>
        </w:rPr>
        <w:t>.</w:t>
      </w:r>
    </w:p>
    <w:p w14:paraId="02237777" w14:textId="2689DC1B" w:rsidR="00EA1EA7" w:rsidRPr="00897DD0" w:rsidRDefault="00EA1EA7" w:rsidP="00A06D8B">
      <w:pPr>
        <w:pStyle w:val="ListParagraph"/>
        <w:numPr>
          <w:ilvl w:val="1"/>
          <w:numId w:val="43"/>
        </w:numPr>
        <w:spacing w:after="0"/>
        <w:contextualSpacing w:val="0"/>
        <w:rPr>
          <w:rFonts w:eastAsia="Source Serif Pro" w:cs="Source Serif Pro"/>
          <w:color w:val="000000" w:themeColor="text1"/>
        </w:rPr>
      </w:pPr>
      <w:r w:rsidRPr="00897DD0">
        <w:rPr>
          <w:rFonts w:eastAsia="Source Serif Pro" w:cs="Source Serif Pro"/>
          <w:color w:val="000000" w:themeColor="text1"/>
        </w:rPr>
        <w:t>Arson, criminal mischief</w:t>
      </w:r>
      <w:r w:rsidR="00D32294" w:rsidRPr="00897DD0">
        <w:rPr>
          <w:rFonts w:eastAsia="Source Serif Pro" w:cs="Source Serif Pro"/>
          <w:color w:val="000000" w:themeColor="text1"/>
        </w:rPr>
        <w:t>,</w:t>
      </w:r>
      <w:r w:rsidRPr="00897DD0">
        <w:rPr>
          <w:rFonts w:eastAsia="Source Serif Pro" w:cs="Source Serif Pro"/>
          <w:color w:val="000000" w:themeColor="text1"/>
        </w:rPr>
        <w:t xml:space="preserve"> and other property destruction</w:t>
      </w:r>
      <w:r w:rsidR="00D32294" w:rsidRPr="00897DD0">
        <w:rPr>
          <w:rFonts w:eastAsia="Source Serif Pro" w:cs="Source Serif Pro"/>
          <w:color w:val="000000" w:themeColor="text1"/>
        </w:rPr>
        <w:t>.</w:t>
      </w:r>
    </w:p>
    <w:p w14:paraId="25AAC2CF" w14:textId="11CDAFDC" w:rsidR="00EA1EA7" w:rsidRPr="00897DD0" w:rsidRDefault="00EA1EA7" w:rsidP="00A06D8B">
      <w:pPr>
        <w:pStyle w:val="ListParagraph"/>
        <w:numPr>
          <w:ilvl w:val="1"/>
          <w:numId w:val="43"/>
        </w:numPr>
        <w:spacing w:after="0"/>
        <w:contextualSpacing w:val="0"/>
        <w:rPr>
          <w:rFonts w:eastAsia="Source Serif Pro" w:cs="Source Serif Pro"/>
          <w:color w:val="000000" w:themeColor="text1"/>
        </w:rPr>
      </w:pPr>
      <w:r w:rsidRPr="00897DD0">
        <w:rPr>
          <w:rFonts w:eastAsia="Source Serif Pro" w:cs="Source Serif Pro"/>
          <w:color w:val="000000" w:themeColor="text1"/>
        </w:rPr>
        <w:t>Offenses involving weapons</w:t>
      </w:r>
      <w:r w:rsidR="00D32294" w:rsidRPr="00897DD0">
        <w:rPr>
          <w:rFonts w:eastAsia="Source Serif Pro" w:cs="Source Serif Pro"/>
          <w:color w:val="000000" w:themeColor="text1"/>
        </w:rPr>
        <w:t>.</w:t>
      </w:r>
    </w:p>
    <w:p w14:paraId="230049FB" w14:textId="3F4864FF" w:rsidR="00EA1EA7" w:rsidRPr="00897DD0" w:rsidRDefault="00EA1EA7" w:rsidP="00A06D8B">
      <w:pPr>
        <w:pStyle w:val="ListParagraph"/>
        <w:numPr>
          <w:ilvl w:val="1"/>
          <w:numId w:val="43"/>
        </w:numPr>
        <w:spacing w:after="0"/>
        <w:contextualSpacing w:val="0"/>
        <w:rPr>
          <w:rFonts w:eastAsia="Source Serif Pro" w:cs="Source Serif Pro"/>
          <w:color w:val="000000" w:themeColor="text1"/>
        </w:rPr>
      </w:pPr>
      <w:r w:rsidRPr="00897DD0">
        <w:rPr>
          <w:rFonts w:eastAsia="Source Serif Pro" w:cs="Source Serif Pro"/>
          <w:color w:val="000000" w:themeColor="text1"/>
        </w:rPr>
        <w:t>Theft and related offenses</w:t>
      </w:r>
      <w:r w:rsidR="003D2DEE" w:rsidRPr="00897DD0">
        <w:rPr>
          <w:rFonts w:eastAsia="Source Serif Pro" w:cs="Source Serif Pro"/>
          <w:color w:val="000000" w:themeColor="text1"/>
        </w:rPr>
        <w:t>.</w:t>
      </w:r>
    </w:p>
    <w:p w14:paraId="5D22F74D" w14:textId="1AE0394E" w:rsidR="00EA1EA7" w:rsidRPr="00897DD0" w:rsidRDefault="00EA1EA7" w:rsidP="00A06D8B">
      <w:pPr>
        <w:pStyle w:val="ListParagraph"/>
        <w:numPr>
          <w:ilvl w:val="1"/>
          <w:numId w:val="43"/>
        </w:numPr>
        <w:spacing w:after="0"/>
        <w:contextualSpacing w:val="0"/>
        <w:rPr>
          <w:rFonts w:eastAsia="Source Serif Pro" w:cs="Source Serif Pro"/>
          <w:color w:val="000000" w:themeColor="text1"/>
        </w:rPr>
      </w:pPr>
      <w:r w:rsidRPr="00897DD0">
        <w:rPr>
          <w:rFonts w:eastAsia="Source Serif Pro" w:cs="Source Serif Pro"/>
          <w:color w:val="000000" w:themeColor="text1"/>
        </w:rPr>
        <w:t>Offenses against public order and decency</w:t>
      </w:r>
      <w:r w:rsidR="00D32294" w:rsidRPr="00897DD0">
        <w:rPr>
          <w:rFonts w:eastAsia="Source Serif Pro" w:cs="Source Serif Pro"/>
          <w:color w:val="000000" w:themeColor="text1"/>
        </w:rPr>
        <w:t>.</w:t>
      </w:r>
    </w:p>
    <w:p w14:paraId="21762C00" w14:textId="27032986" w:rsidR="00EA1EA7" w:rsidRPr="00897DD0" w:rsidRDefault="00EA1EA7" w:rsidP="00A06D8B">
      <w:pPr>
        <w:pStyle w:val="ListParagraph"/>
        <w:numPr>
          <w:ilvl w:val="1"/>
          <w:numId w:val="43"/>
        </w:numPr>
        <w:spacing w:after="0"/>
        <w:contextualSpacing w:val="0"/>
        <w:rPr>
          <w:rFonts w:eastAsia="Source Serif Pro" w:cs="Source Serif Pro"/>
          <w:color w:val="000000" w:themeColor="text1"/>
        </w:rPr>
      </w:pPr>
      <w:r w:rsidRPr="00897DD0">
        <w:rPr>
          <w:rFonts w:eastAsia="Source Serif Pro" w:cs="Source Serif Pro"/>
          <w:color w:val="000000" w:themeColor="text1"/>
        </w:rPr>
        <w:t>Drug and alcohol offenses</w:t>
      </w:r>
      <w:r w:rsidR="00D32294" w:rsidRPr="00897DD0">
        <w:rPr>
          <w:rFonts w:eastAsia="Source Serif Pro" w:cs="Source Serif Pro"/>
          <w:color w:val="000000" w:themeColor="text1"/>
        </w:rPr>
        <w:t>.</w:t>
      </w:r>
    </w:p>
    <w:p w14:paraId="4D82CC79" w14:textId="39649930" w:rsidR="00EA1EA7" w:rsidRPr="00897DD0" w:rsidRDefault="00EA1EA7" w:rsidP="00A06D8B">
      <w:pPr>
        <w:pStyle w:val="ListParagraph"/>
        <w:numPr>
          <w:ilvl w:val="0"/>
          <w:numId w:val="43"/>
        </w:numPr>
        <w:spacing w:after="0"/>
        <w:contextualSpacing w:val="0"/>
        <w:rPr>
          <w:rFonts w:eastAsia="Source Serif Pro" w:cs="Source Serif Pro"/>
          <w:color w:val="000000" w:themeColor="text1"/>
        </w:rPr>
      </w:pPr>
      <w:r w:rsidRPr="00897DD0">
        <w:rPr>
          <w:rFonts w:eastAsia="Source Serif Pro" w:cs="Source Serif Pro"/>
          <w:color w:val="000000" w:themeColor="text1"/>
        </w:rPr>
        <w:lastRenderedPageBreak/>
        <w:t>Primary emphasis is on the nature of the criminal conduct, which may or may not have resulted in arrests, charges, or convictions. When the individual has been arrested or charged with an offense but has not been convicted, the adjudicator must make an independent determination that the individual engaged in the criminal conduct based on sufficient evidence to make that decision. The individual’s explanation is of special relevance, as well as whether the explanation is corroborated by other sources.</w:t>
      </w:r>
    </w:p>
    <w:p w14:paraId="2DEB1AF2" w14:textId="77777777" w:rsidR="00EA1EA7" w:rsidRPr="00897DD0" w:rsidRDefault="00EA1EA7" w:rsidP="00A06D8B">
      <w:pPr>
        <w:pStyle w:val="ListParagraph"/>
        <w:numPr>
          <w:ilvl w:val="0"/>
          <w:numId w:val="43"/>
        </w:numPr>
        <w:spacing w:after="0"/>
        <w:contextualSpacing w:val="0"/>
        <w:rPr>
          <w:rFonts w:eastAsia="Source Serif Pro" w:cs="Source Serif Pro"/>
          <w:color w:val="000000" w:themeColor="text1"/>
        </w:rPr>
      </w:pPr>
      <w:r w:rsidRPr="00897DD0">
        <w:rPr>
          <w:rFonts w:eastAsia="Source Serif Pro" w:cs="Source Serif Pro"/>
          <w:color w:val="000000" w:themeColor="text1"/>
        </w:rPr>
        <w:t>Details and reasons for the dismissal of a charge must be considered; expungement of records and pardons for an offense would not nullify the conduct, unless granted on the basis of the person’s innocence.</w:t>
      </w:r>
    </w:p>
    <w:p w14:paraId="2F75795A" w14:textId="15899EA2" w:rsidR="00EA1EA7" w:rsidRPr="00897DD0" w:rsidRDefault="00EA1EA7" w:rsidP="00A06D8B">
      <w:pPr>
        <w:pStyle w:val="ListParagraph"/>
        <w:numPr>
          <w:ilvl w:val="0"/>
          <w:numId w:val="43"/>
        </w:numPr>
        <w:spacing w:after="0"/>
        <w:contextualSpacing w:val="0"/>
        <w:rPr>
          <w:rFonts w:eastAsia="Source Serif Pro" w:cs="Source Serif Pro"/>
          <w:color w:val="000000" w:themeColor="text1"/>
        </w:rPr>
      </w:pPr>
      <w:r w:rsidRPr="00897DD0">
        <w:rPr>
          <w:rFonts w:eastAsia="Source Serif Pro" w:cs="Source Serif Pro"/>
          <w:color w:val="000000" w:themeColor="text1"/>
        </w:rPr>
        <w:t>Pending charges involving conduct that can potentially result in an unfavorable determination cannot be adjudicated until the case is disposed.</w:t>
      </w:r>
      <w:r w:rsidR="003D2DEE" w:rsidRPr="00897DD0">
        <w:rPr>
          <w:rFonts w:eastAsia="Source Serif Pro" w:cs="Source Serif Pro"/>
          <w:color w:val="000000" w:themeColor="text1"/>
        </w:rPr>
        <w:t xml:space="preserve"> However, agencies may determine the appropriateness of making a risk-based decision to grant an exception</w:t>
      </w:r>
      <w:r w:rsidR="00F12673">
        <w:rPr>
          <w:rFonts w:eastAsia="Source Serif Pro" w:cs="Source Serif Pro"/>
          <w:color w:val="000000" w:themeColor="text1"/>
        </w:rPr>
        <w:t>.</w:t>
      </w:r>
      <w:r w:rsidR="003D2DEE" w:rsidRPr="00897DD0">
        <w:rPr>
          <w:rFonts w:eastAsia="Source Serif Pro" w:cs="Source Serif Pro"/>
          <w:color w:val="000000" w:themeColor="text1"/>
        </w:rPr>
        <w:t xml:space="preserve"> (</w:t>
      </w:r>
      <w:r w:rsidR="00F12673">
        <w:rPr>
          <w:rFonts w:eastAsia="Source Serif Pro" w:cs="Source Serif Pro"/>
          <w:color w:val="000000" w:themeColor="text1"/>
        </w:rPr>
        <w:t>S</w:t>
      </w:r>
      <w:r w:rsidR="003D2DEE" w:rsidRPr="00897DD0">
        <w:rPr>
          <w:rFonts w:eastAsia="Source Serif Pro" w:cs="Source Serif Pro"/>
          <w:color w:val="000000" w:themeColor="text1"/>
        </w:rPr>
        <w:t xml:space="preserve">ee guidance in </w:t>
      </w:r>
      <w:hyperlink w:anchor="_2.3_–_Exceptions" w:history="1">
        <w:r w:rsidR="003A5302" w:rsidRPr="002C227D">
          <w:rPr>
            <w:rStyle w:val="Hyperlink"/>
            <w:rFonts w:eastAsia="Source Serif Pro" w:cs="Source Serif Pro"/>
          </w:rPr>
          <w:t>Volume 2</w:t>
        </w:r>
      </w:hyperlink>
      <w:r w:rsidR="003A5302">
        <w:rPr>
          <w:rFonts w:eastAsia="Source Serif Pro" w:cs="Source Serif Pro"/>
          <w:color w:val="000000" w:themeColor="text1"/>
        </w:rPr>
        <w:t xml:space="preserve"> </w:t>
      </w:r>
      <w:r w:rsidR="003D2DEE" w:rsidRPr="00897DD0">
        <w:rPr>
          <w:rFonts w:eastAsia="Source Serif Pro" w:cs="Source Serif Pro"/>
          <w:color w:val="000000" w:themeColor="text1"/>
        </w:rPr>
        <w:t xml:space="preserve">of this Manual and the </w:t>
      </w:r>
      <w:r w:rsidR="009D026B" w:rsidRPr="00897DD0">
        <w:rPr>
          <w:rFonts w:eastAsia="Times New Roman" w:cs="Sans Serif Collection"/>
          <w:b/>
          <w:bCs/>
          <w:spacing w:val="0"/>
        </w:rPr>
        <w:t>Common Principles in Applying Federal Personnel Vetting Adjudicative Standard</w:t>
      </w:r>
      <w:r w:rsidR="00103F2C">
        <w:rPr>
          <w:rFonts w:eastAsia="Times New Roman" w:cs="Sans Serif Collection"/>
          <w:b/>
          <w:bCs/>
          <w:spacing w:val="0"/>
        </w:rPr>
        <w:t>.</w:t>
      </w:r>
      <w:r w:rsidR="009D026B" w:rsidRPr="00897DD0">
        <w:rPr>
          <w:rFonts w:eastAsia="Times New Roman" w:cs="Sans Serif Collection"/>
          <w:b/>
          <w:bCs/>
          <w:spacing w:val="0"/>
        </w:rPr>
        <w:t>)</w:t>
      </w:r>
    </w:p>
    <w:p w14:paraId="1E053B1A" w14:textId="3FBF250B" w:rsidR="00EA1EA7" w:rsidRPr="00897DD0" w:rsidRDefault="00EA1EA7" w:rsidP="00A06D8B">
      <w:pPr>
        <w:pStyle w:val="ListParagraph"/>
        <w:numPr>
          <w:ilvl w:val="0"/>
          <w:numId w:val="43"/>
        </w:numPr>
      </w:pPr>
      <w:r w:rsidRPr="00897DD0">
        <w:rPr>
          <w:rFonts w:eastAsia="Source Serif Pro" w:cs="Source Serif Pro"/>
          <w:color w:val="000000" w:themeColor="text1"/>
        </w:rPr>
        <w:t xml:space="preserve">Cases involving Marijuana: As more state laws regarding medical and recreational use of marijuana have changed, </w:t>
      </w:r>
      <w:r w:rsidR="009074DC">
        <w:rPr>
          <w:rFonts w:eastAsia="Source Serif Pro" w:cs="Source Serif Pro"/>
          <w:color w:val="000000" w:themeColor="text1"/>
        </w:rPr>
        <w:t>F</w:t>
      </w:r>
      <w:r w:rsidRPr="00897DD0">
        <w:rPr>
          <w:rFonts w:eastAsia="Source Serif Pro" w:cs="Source Serif Pro"/>
          <w:color w:val="000000" w:themeColor="text1"/>
        </w:rPr>
        <w:t xml:space="preserve">ederal agencies increasingly encounter individuals with knowledge, skills, and abilities that make them well-qualified for a position, but have used marijuana, which may be of concern. Marijuana is categorized as a controlled substance under Schedule I of the Controlled Substances Act. An individual’s disregard of </w:t>
      </w:r>
      <w:r w:rsidR="009074DC">
        <w:rPr>
          <w:rFonts w:eastAsia="Source Serif Pro" w:cs="Source Serif Pro"/>
          <w:color w:val="000000" w:themeColor="text1"/>
        </w:rPr>
        <w:t>F</w:t>
      </w:r>
      <w:r w:rsidRPr="00897DD0">
        <w:rPr>
          <w:rFonts w:eastAsia="Source Serif Pro" w:cs="Source Serif Pro"/>
          <w:color w:val="000000" w:themeColor="text1"/>
        </w:rPr>
        <w:t>ederal law pertaining to marijuana remains adjudicatively relevant to suitability determinations. OPM's supplemental guidance via Memorandum “</w:t>
      </w:r>
      <w:hyperlink r:id="rId18">
        <w:r w:rsidRPr="00897DD0">
          <w:rPr>
            <w:rStyle w:val="Hyperlink"/>
            <w:rFonts w:eastAsia="Source Serif Pro" w:cs="Source Serif Pro"/>
          </w:rPr>
          <w:t>Assessing the Suitability/Fitness of Applicants or Appointees on the Basis of Marijuana Use; Maintaining a Drug-Free Workplace</w:t>
        </w:r>
      </w:hyperlink>
      <w:r w:rsidRPr="36A80A07">
        <w:rPr>
          <w:rFonts w:eastAsia="Source Serif Pro" w:cs="Source Serif Pro"/>
          <w:i/>
          <w:iCs/>
          <w:color w:val="000000" w:themeColor="text1"/>
        </w:rPr>
        <w:t>”,</w:t>
      </w:r>
      <w:r w:rsidRPr="00897DD0">
        <w:rPr>
          <w:rFonts w:eastAsia="Source Serif Pro" w:cs="Source Serif Pro"/>
          <w:color w:val="000000" w:themeColor="text1"/>
        </w:rPr>
        <w:t xml:space="preserve"> February 25, 2021, further addresses the adjudication of marijuana usage. Past marijuana usage may be considered under this factor as well as factor 6,</w:t>
      </w:r>
      <w:r w:rsidRPr="00897DD0">
        <w:t xml:space="preserve"> illegal use of narcotics, drugs, or other controlled substances without evidence of rehabilitation. Agencies may not automatically find individuals unsuitable for </w:t>
      </w:r>
      <w:r w:rsidR="009074DC">
        <w:t>F</w:t>
      </w:r>
      <w:r w:rsidRPr="00897DD0">
        <w:t>ederal employment based on either factor. Past marijuana use, including recently discontinued marijuana use, should be viewed differently from ongoing marijuana use.</w:t>
      </w:r>
      <w:r w:rsidR="00D32294" w:rsidRPr="00897DD0">
        <w:t xml:space="preserve"> </w:t>
      </w:r>
      <w:r w:rsidRPr="00897DD0">
        <w:t xml:space="preserve">The nature and seriousness of the use and the nature of the specific position for which the person is applying are also likely to be important considerations. It is also necessary to assess all possible indicators of rehabilitation, which may include, among other things, evidence that use will not occur again, the passage of time without use, or completion of (or current participation in) treatment or counseling. A commitment to not use marijuana going forward may represent evidence of rehabilitation which may be mitigating, even in cases of recent use, when considering the totality of the information regarding the individual’s use. Consideration of </w:t>
      </w:r>
      <w:r w:rsidR="00D32294" w:rsidRPr="00897DD0">
        <w:t>c</w:t>
      </w:r>
      <w:r w:rsidRPr="00897DD0">
        <w:t xml:space="preserve">riminal </w:t>
      </w:r>
      <w:r w:rsidR="00D32294" w:rsidRPr="00897DD0">
        <w:t>c</w:t>
      </w:r>
      <w:r w:rsidRPr="00897DD0">
        <w:t xml:space="preserve">onduct </w:t>
      </w:r>
      <w:r w:rsidR="00D32294" w:rsidRPr="00897DD0">
        <w:t>r</w:t>
      </w:r>
      <w:r w:rsidRPr="00897DD0">
        <w:t xml:space="preserve">elated to </w:t>
      </w:r>
      <w:r w:rsidR="00D32294" w:rsidRPr="00897DD0">
        <w:t>p</w:t>
      </w:r>
      <w:r w:rsidRPr="00897DD0">
        <w:t xml:space="preserve">ossession of </w:t>
      </w:r>
      <w:r w:rsidR="00D32294" w:rsidRPr="00897DD0">
        <w:t>m</w:t>
      </w:r>
      <w:r w:rsidRPr="00897DD0">
        <w:t>arijuana under 5 C.F.R.</w:t>
      </w:r>
      <w:r w:rsidR="003A5302">
        <w:t>§</w:t>
      </w:r>
      <w:r w:rsidRPr="00897DD0">
        <w:t xml:space="preserve"> 731.202(b)(2) may be the basis for an unfavorable suitability determination. However, agencies should exercise special care before making a determination of unsuitability for criminal conduct based on marijuana possession. Agencies must consider whether the employment of an individual with a criminal history related to the possession of marijuana would adversely impact “the integrity . . . or efficiency of the service.” Agencies must also apply the considerations under 5 C.F.R. § 731.202(c) where pertinent. Depending on the circumstances, a marijuana possession offense might not be incompatible with employment in the position sough</w:t>
      </w:r>
      <w:r w:rsidR="00D32294" w:rsidRPr="00897DD0">
        <w:t>t.</w:t>
      </w:r>
      <w:r w:rsidRPr="00897DD0">
        <w:t xml:space="preserve"> </w:t>
      </w:r>
      <w:r w:rsidR="001B1587">
        <w:t>I</w:t>
      </w:r>
      <w:r w:rsidRPr="00897DD0">
        <w:t xml:space="preserve">n states where marijuana use has been decriminalized or legalized as a matter of state law, individuals could reasonably be confused or </w:t>
      </w:r>
      <w:r w:rsidRPr="00897DD0">
        <w:lastRenderedPageBreak/>
        <w:t xml:space="preserve">misinformed about whether their use of the drug constitutes criminal conduct. The exception is for cannabis-based products that do not exceed .3% THC (once dried) concentration. The Agriculture Improvement Act of 2018 classified such items as hemp, not marijuana, and therefore not illegal under the CSA. Federal employees should be aware, however, that the FDA does not certify the level of THC in these products and the percent of THC cannot be guaranteed. Use of a mislabeled product actually containing greater than .3% THC could create a risk of a positive results on drug tests, for positions that require them. </w:t>
      </w:r>
      <w:r w:rsidR="00D32294" w:rsidRPr="00897DD0">
        <w:t>(</w:t>
      </w:r>
      <w:r w:rsidRPr="00897DD0">
        <w:t xml:space="preserve">See SAMHSA, Memorandum to Federal Agency Drug Program Coordinators, Federal Medical Review Officers, and Federal Partners, Marijuana, Marijuana Oils, Marijuana Infused Products and Hemp Products (July 24, 2019), at </w:t>
      </w:r>
      <w:hyperlink r:id="rId19" w:history="1">
        <w:r w:rsidR="004878C1" w:rsidRPr="004878C1">
          <w:rPr>
            <w:color w:val="0000FF"/>
            <w:u w:val="single"/>
          </w:rPr>
          <w:t>hemp-products-csap-memo-072419.pdf</w:t>
        </w:r>
      </w:hyperlink>
      <w:r w:rsidR="004878C1">
        <w:t>.)</w:t>
      </w:r>
      <w:r w:rsidRPr="00897DD0">
        <w:t xml:space="preserve"> Likewise</w:t>
      </w:r>
      <w:r w:rsidR="004878C1">
        <w:t>,</w:t>
      </w:r>
      <w:r w:rsidRPr="00897DD0">
        <w:t xml:space="preserve"> 41 U.S.C. §§ 8102 and 8103 continue to impose drug-free workplace requirements for Federal contractors and grant recipients.</w:t>
      </w:r>
    </w:p>
    <w:p w14:paraId="49B925BE" w14:textId="271DDD4A" w:rsidR="00EA1EA7" w:rsidRDefault="00EA1EA7" w:rsidP="00F45AE0">
      <w:pPr>
        <w:pStyle w:val="Heading4"/>
      </w:pPr>
      <w:r w:rsidRPr="02DB6E7A">
        <w:t>Potential Suitability/Fitness Concerns</w:t>
      </w:r>
    </w:p>
    <w:p w14:paraId="5EE9C6EF" w14:textId="42888050" w:rsidR="00EA1EA7" w:rsidRDefault="00EA1EA7" w:rsidP="007F46AB">
      <w:pPr>
        <w:spacing w:after="60"/>
        <w:rPr>
          <w:rFonts w:eastAsia="Source Serif Pro" w:cs="Source Serif Pro"/>
          <w:color w:val="000000" w:themeColor="text1"/>
        </w:rPr>
      </w:pPr>
      <w:r w:rsidRPr="02DB6E7A">
        <w:rPr>
          <w:rFonts w:eastAsia="Source Serif Pro" w:cs="Source Serif Pro"/>
          <w:b/>
          <w:bCs/>
          <w:i/>
          <w:iCs/>
          <w:color w:val="000000" w:themeColor="text1"/>
        </w:rPr>
        <w:t>Examples of conditions that could raise a concern and may lead to an unfavorable determination include:</w:t>
      </w:r>
    </w:p>
    <w:p w14:paraId="0D2373EA" w14:textId="43BE7448" w:rsidR="00EA1EA7" w:rsidRDefault="00EA1EA7" w:rsidP="00D87CA4">
      <w:pPr>
        <w:pStyle w:val="ListParagraph"/>
        <w:numPr>
          <w:ilvl w:val="0"/>
          <w:numId w:val="71"/>
        </w:numPr>
        <w:spacing w:after="0"/>
        <w:contextualSpacing w:val="0"/>
        <w:rPr>
          <w:rFonts w:eastAsia="Source Serif Pro" w:cs="Source Serif Pro"/>
          <w:color w:val="000000" w:themeColor="text1"/>
        </w:rPr>
      </w:pPr>
      <w:r w:rsidRPr="02DB6E7A">
        <w:rPr>
          <w:rFonts w:eastAsia="Source Serif Pro" w:cs="Source Serif Pro"/>
          <w:color w:val="000000" w:themeColor="text1"/>
        </w:rPr>
        <w:t>A single serious offense.</w:t>
      </w:r>
    </w:p>
    <w:p w14:paraId="009AE390" w14:textId="769A9AD7" w:rsidR="00D32294" w:rsidRPr="00620C44" w:rsidRDefault="00EA1EA7" w:rsidP="00620C44">
      <w:pPr>
        <w:pStyle w:val="ListParagraph"/>
        <w:numPr>
          <w:ilvl w:val="0"/>
          <w:numId w:val="71"/>
        </w:numPr>
        <w:contextualSpacing w:val="0"/>
        <w:rPr>
          <w:rFonts w:eastAsia="Source Serif Pro" w:cs="Source Serif Pro"/>
          <w:color w:val="000000" w:themeColor="text1"/>
        </w:rPr>
      </w:pPr>
      <w:r w:rsidRPr="02DB6E7A">
        <w:rPr>
          <w:rFonts w:eastAsia="Source Serif Pro" w:cs="Source Serif Pro"/>
          <w:color w:val="000000" w:themeColor="text1"/>
        </w:rPr>
        <w:t>A pattern of minor offenses, any one of which on its own would be unlikely to affect a suitability decision, but in combination cast doubt on the individual’s judgment, reliability, or trustworthiness.</w:t>
      </w:r>
    </w:p>
    <w:p w14:paraId="5CDD9F40" w14:textId="77777777" w:rsidR="00EA1EA7" w:rsidRDefault="00EA1EA7" w:rsidP="0072005B">
      <w:pPr>
        <w:pStyle w:val="Heading4"/>
      </w:pPr>
      <w:r w:rsidRPr="02DB6E7A">
        <w:t xml:space="preserve">Mitigating Conditions </w:t>
      </w:r>
    </w:p>
    <w:p w14:paraId="3D334BC4" w14:textId="77777777" w:rsidR="00EA1EA7" w:rsidRDefault="00EA1EA7" w:rsidP="009B51B2">
      <w:pPr>
        <w:spacing w:after="60"/>
        <w:rPr>
          <w:rFonts w:eastAsia="Source Serif Pro" w:cs="Source Serif Pro"/>
          <w:b/>
          <w:bCs/>
          <w:i/>
          <w:iCs/>
          <w:color w:val="000000" w:themeColor="text1"/>
        </w:rPr>
      </w:pPr>
      <w:r w:rsidRPr="02DB6E7A">
        <w:rPr>
          <w:rFonts w:eastAsia="Source Serif Pro" w:cs="Source Serif Pro"/>
          <w:b/>
          <w:bCs/>
          <w:i/>
          <w:iCs/>
          <w:color w:val="000000" w:themeColor="text1"/>
        </w:rPr>
        <w:t>Examples of conditions that could mitigate concerns, as determined by applying pertinent additional considerations:</w:t>
      </w:r>
    </w:p>
    <w:p w14:paraId="73EE7F28" w14:textId="77777777" w:rsidR="00EA1EA7" w:rsidRDefault="00EA1EA7" w:rsidP="00A06D8B">
      <w:pPr>
        <w:pStyle w:val="ListParagraph"/>
        <w:numPr>
          <w:ilvl w:val="0"/>
          <w:numId w:val="44"/>
        </w:numPr>
        <w:spacing w:after="0"/>
        <w:contextualSpacing w:val="0"/>
        <w:rPr>
          <w:rFonts w:eastAsia="Source Serif Pro" w:cs="Source Serif Pro"/>
          <w:color w:val="000000" w:themeColor="text1"/>
        </w:rPr>
      </w:pPr>
      <w:r w:rsidRPr="02DB6E7A">
        <w:rPr>
          <w:rFonts w:eastAsia="Source Serif Pro" w:cs="Source Serif Pro"/>
          <w:color w:val="000000" w:themeColor="text1"/>
        </w:rPr>
        <w:t>The conduct is minor.</w:t>
      </w:r>
    </w:p>
    <w:p w14:paraId="1F912362" w14:textId="77777777" w:rsidR="00EA1EA7" w:rsidRDefault="00EA1EA7" w:rsidP="00A06D8B">
      <w:pPr>
        <w:pStyle w:val="ListParagraph"/>
        <w:numPr>
          <w:ilvl w:val="0"/>
          <w:numId w:val="44"/>
        </w:numPr>
        <w:spacing w:after="0"/>
        <w:contextualSpacing w:val="0"/>
        <w:rPr>
          <w:rFonts w:eastAsia="Source Serif Pro" w:cs="Source Serif Pro"/>
          <w:color w:val="000000" w:themeColor="text1"/>
        </w:rPr>
      </w:pPr>
      <w:r w:rsidRPr="02DB6E7A">
        <w:rPr>
          <w:rFonts w:eastAsia="Source Serif Pro" w:cs="Source Serif Pro"/>
          <w:color w:val="000000" w:themeColor="text1"/>
        </w:rPr>
        <w:t>So much time has passed since the conduct.</w:t>
      </w:r>
    </w:p>
    <w:p w14:paraId="1E073833" w14:textId="77777777" w:rsidR="00EA1EA7" w:rsidRDefault="00EA1EA7" w:rsidP="00A06D8B">
      <w:pPr>
        <w:pStyle w:val="ListParagraph"/>
        <w:numPr>
          <w:ilvl w:val="0"/>
          <w:numId w:val="44"/>
        </w:numPr>
        <w:spacing w:after="0"/>
        <w:contextualSpacing w:val="0"/>
        <w:rPr>
          <w:rFonts w:eastAsia="Source Serif Pro" w:cs="Source Serif Pro"/>
          <w:color w:val="000000" w:themeColor="text1"/>
        </w:rPr>
      </w:pPr>
      <w:r w:rsidRPr="02DB6E7A">
        <w:rPr>
          <w:rFonts w:eastAsia="Source Serif Pro" w:cs="Source Serif Pro"/>
          <w:color w:val="000000" w:themeColor="text1"/>
        </w:rPr>
        <w:t>The behavior was infrequent.</w:t>
      </w:r>
    </w:p>
    <w:p w14:paraId="1603CEF4" w14:textId="6F7D7822" w:rsidR="00EA1EA7" w:rsidRDefault="00EA1EA7" w:rsidP="00A06D8B">
      <w:pPr>
        <w:pStyle w:val="ListParagraph"/>
        <w:numPr>
          <w:ilvl w:val="0"/>
          <w:numId w:val="44"/>
        </w:numPr>
        <w:spacing w:after="0"/>
        <w:contextualSpacing w:val="0"/>
        <w:rPr>
          <w:rFonts w:eastAsia="Source Serif Pro" w:cs="Source Serif Pro"/>
          <w:color w:val="000000" w:themeColor="text1"/>
        </w:rPr>
      </w:pPr>
      <w:r w:rsidRPr="02DB6E7A">
        <w:rPr>
          <w:rFonts w:eastAsia="Source Serif Pro" w:cs="Source Serif Pro"/>
          <w:color w:val="000000" w:themeColor="text1"/>
        </w:rPr>
        <w:t xml:space="preserve">The conduct happened under such unique circumstances that it is unlikely to recur and does not cast doubt on the individual’s character or suggest the individual’s employment would adversely impact the integrity or efficiency of the service. </w:t>
      </w:r>
    </w:p>
    <w:p w14:paraId="2B2712A0" w14:textId="6A3B45BD" w:rsidR="00EA1EA7" w:rsidRDefault="00EA1EA7" w:rsidP="00A06D8B">
      <w:pPr>
        <w:pStyle w:val="ListParagraph"/>
        <w:numPr>
          <w:ilvl w:val="0"/>
          <w:numId w:val="44"/>
        </w:numPr>
        <w:spacing w:after="0"/>
        <w:contextualSpacing w:val="0"/>
        <w:rPr>
          <w:rFonts w:eastAsia="Source Serif Pro" w:cs="Source Serif Pro"/>
          <w:color w:val="000000" w:themeColor="text1"/>
        </w:rPr>
      </w:pPr>
      <w:r w:rsidRPr="02DB6E7A">
        <w:rPr>
          <w:rFonts w:eastAsia="Source Serif Pro" w:cs="Source Serif Pro"/>
          <w:color w:val="000000" w:themeColor="text1"/>
        </w:rPr>
        <w:t xml:space="preserve">There exists no increased concern based on the authority, responsibility, sensitivity, and public trust associated with the position or a direct nexus to the core duties of the position or agency mission. </w:t>
      </w:r>
    </w:p>
    <w:p w14:paraId="15024F81" w14:textId="2D669D75" w:rsidR="00EA1EA7" w:rsidRDefault="00EA1EA7" w:rsidP="00A06D8B">
      <w:pPr>
        <w:pStyle w:val="ListParagraph"/>
        <w:numPr>
          <w:ilvl w:val="0"/>
          <w:numId w:val="44"/>
        </w:numPr>
        <w:spacing w:after="0"/>
        <w:contextualSpacing w:val="0"/>
        <w:rPr>
          <w:rFonts w:eastAsia="Source Serif Pro" w:cs="Source Serif Pro"/>
          <w:color w:val="000000" w:themeColor="text1"/>
        </w:rPr>
      </w:pPr>
      <w:r w:rsidRPr="02DB6E7A">
        <w:rPr>
          <w:rFonts w:eastAsia="Source Serif Pro" w:cs="Source Serif Pro"/>
          <w:color w:val="000000" w:themeColor="text1"/>
        </w:rPr>
        <w:t>There is reasonable belief that the individual unknowingly engaged in conduct that was wrong or negligent, and intentional</w:t>
      </w:r>
      <w:r w:rsidR="00BB1137">
        <w:rPr>
          <w:rFonts w:eastAsia="Source Serif Pro" w:cs="Source Serif Pro"/>
          <w:color w:val="000000" w:themeColor="text1"/>
        </w:rPr>
        <w:t>,</w:t>
      </w:r>
      <w:r w:rsidRPr="02DB6E7A">
        <w:rPr>
          <w:rFonts w:eastAsia="Source Serif Pro" w:cs="Source Serif Pro"/>
          <w:color w:val="000000" w:themeColor="text1"/>
        </w:rPr>
        <w:t xml:space="preserve"> prompt corrective efforts by the individual followed.</w:t>
      </w:r>
    </w:p>
    <w:p w14:paraId="7322912E" w14:textId="6F00220C" w:rsidR="00AA3FC9" w:rsidRPr="009B4CE5" w:rsidRDefault="00EA1EA7" w:rsidP="00AA3FC9">
      <w:pPr>
        <w:pStyle w:val="ListParagraph"/>
        <w:numPr>
          <w:ilvl w:val="0"/>
          <w:numId w:val="44"/>
        </w:numPr>
        <w:spacing w:after="240"/>
        <w:contextualSpacing w:val="0"/>
        <w:rPr>
          <w:rFonts w:eastAsia="Source Serif Pro" w:cs="Source Serif Pro"/>
          <w:color w:val="000000" w:themeColor="text1"/>
        </w:rPr>
      </w:pPr>
      <w:r w:rsidRPr="02DB6E7A">
        <w:rPr>
          <w:rFonts w:eastAsia="Source Serif Pro" w:cs="Source Serif Pro"/>
          <w:color w:val="000000" w:themeColor="text1"/>
        </w:rPr>
        <w:t>There is evidence of successful rehabilitation; including, but not limited to, passage of time without reoccurrence of employment misconduct or negligence, compliance with terms of employment improvement plan, job training or good employment record.</w:t>
      </w:r>
    </w:p>
    <w:p w14:paraId="41CFBD82" w14:textId="77777777" w:rsidR="00EA1EA7" w:rsidRPr="0072005B" w:rsidRDefault="00EA1EA7" w:rsidP="0072005B">
      <w:pPr>
        <w:pStyle w:val="Heading3"/>
        <w:rPr>
          <w:u w:val="single"/>
        </w:rPr>
      </w:pPr>
      <w:bookmarkStart w:id="60" w:name="_Toc187052948"/>
      <w:bookmarkStart w:id="61" w:name="_Toc187924146"/>
      <w:r w:rsidRPr="36A80A07">
        <w:rPr>
          <w:u w:val="single"/>
        </w:rPr>
        <w:lastRenderedPageBreak/>
        <w:t>FACTOR 3: MATERIAL, INTENTIONAL FALSE STATEMENT, OR DECEPTION OR FRAUD, IN EXAMINATION OR APPOINTMENT</w:t>
      </w:r>
      <w:bookmarkEnd w:id="60"/>
      <w:bookmarkEnd w:id="61"/>
    </w:p>
    <w:p w14:paraId="59A605C9" w14:textId="77777777" w:rsidR="00EA1EA7" w:rsidRDefault="00EA1EA7" w:rsidP="0072005B">
      <w:pPr>
        <w:pStyle w:val="Heading4"/>
      </w:pPr>
      <w:r w:rsidRPr="02DB6E7A">
        <w:t>Concern</w:t>
      </w:r>
    </w:p>
    <w:p w14:paraId="5138C42A" w14:textId="61093D9B" w:rsidR="00EA1EA7" w:rsidRPr="00F84805" w:rsidRDefault="00EA1EA7" w:rsidP="00406441">
      <w:pPr>
        <w:rPr>
          <w:rFonts w:eastAsia="Source Serif Pro" w:cs="Source Serif Pro"/>
          <w:color w:val="000000" w:themeColor="text1"/>
        </w:rPr>
      </w:pPr>
      <w:r w:rsidRPr="00F84805">
        <w:rPr>
          <w:rFonts w:eastAsia="Source Serif Pro" w:cs="Source Serif Pro"/>
          <w:color w:val="000000" w:themeColor="text1"/>
        </w:rPr>
        <w:t xml:space="preserve">Providing intentional false statements or engaging in deception or fraud in the competitive hiring process circumvents the Federal hiring procedures created to ensure fair and open competition. OPM retains jurisdiction in competitive service </w:t>
      </w:r>
      <w:r w:rsidR="00D32294" w:rsidRPr="00F84805">
        <w:rPr>
          <w:rFonts w:eastAsia="Source Serif Pro" w:cs="Source Serif Pro"/>
          <w:color w:val="000000" w:themeColor="text1"/>
        </w:rPr>
        <w:t xml:space="preserve">and career Senior Executive Service </w:t>
      </w:r>
      <w:r w:rsidRPr="00F84805">
        <w:rPr>
          <w:rFonts w:eastAsia="Source Serif Pro" w:cs="Source Serif Pro"/>
          <w:color w:val="000000" w:themeColor="text1"/>
        </w:rPr>
        <w:t>positions</w:t>
      </w:r>
      <w:r w:rsidR="00D32294" w:rsidRPr="00F84805">
        <w:rPr>
          <w:rFonts w:eastAsia="Source Serif Pro" w:cs="Source Serif Pro"/>
          <w:color w:val="000000" w:themeColor="text1"/>
        </w:rPr>
        <w:t xml:space="preserve"> </w:t>
      </w:r>
      <w:r w:rsidRPr="00F84805">
        <w:rPr>
          <w:rFonts w:eastAsia="Source Serif Pro" w:cs="Source Serif Pro"/>
          <w:color w:val="000000" w:themeColor="text1"/>
        </w:rPr>
        <w:t xml:space="preserve">if the case involves evidence of material, intentional false statement, or deception or fraud in examination or appointment. </w:t>
      </w:r>
      <w:r w:rsidRPr="00F84805">
        <w:rPr>
          <w:rFonts w:eastAsia="Source Serif Pro" w:cs="Source Serif Pro"/>
          <w:b/>
          <w:color w:val="000000" w:themeColor="text1"/>
        </w:rPr>
        <w:t>Agencies must refer these cases to OPM for adjudication, or provide required notification to OPM, if the agency wants to take or has taken action under another authority (such as 5 C</w:t>
      </w:r>
      <w:r w:rsidR="009B4CE5">
        <w:rPr>
          <w:rFonts w:eastAsia="Source Serif Pro" w:cs="Source Serif Pro"/>
          <w:b/>
          <w:color w:val="000000" w:themeColor="text1"/>
        </w:rPr>
        <w:t>.</w:t>
      </w:r>
      <w:r w:rsidRPr="00F84805">
        <w:rPr>
          <w:rFonts w:eastAsia="Source Serif Pro" w:cs="Source Serif Pro"/>
          <w:b/>
          <w:color w:val="000000" w:themeColor="text1"/>
        </w:rPr>
        <w:t>F</w:t>
      </w:r>
      <w:r w:rsidR="009B4CE5">
        <w:rPr>
          <w:rFonts w:eastAsia="Source Serif Pro" w:cs="Source Serif Pro"/>
          <w:b/>
          <w:color w:val="000000" w:themeColor="text1"/>
        </w:rPr>
        <w:t>.</w:t>
      </w:r>
      <w:r w:rsidRPr="00F84805">
        <w:rPr>
          <w:rFonts w:eastAsia="Source Serif Pro" w:cs="Source Serif Pro"/>
          <w:b/>
          <w:color w:val="000000" w:themeColor="text1"/>
        </w:rPr>
        <w:t>R</w:t>
      </w:r>
      <w:r w:rsidR="009B4CE5">
        <w:rPr>
          <w:rFonts w:eastAsia="Source Serif Pro" w:cs="Source Serif Pro"/>
          <w:b/>
          <w:color w:val="000000" w:themeColor="text1"/>
        </w:rPr>
        <w:t>.</w:t>
      </w:r>
      <w:r w:rsidRPr="00F84805">
        <w:rPr>
          <w:rFonts w:eastAsia="Source Serif Pro" w:cs="Source Serif Pro"/>
          <w:b/>
          <w:color w:val="000000" w:themeColor="text1"/>
        </w:rPr>
        <w:t xml:space="preserve"> part 315, 5 C</w:t>
      </w:r>
      <w:r w:rsidR="009B4CE5">
        <w:rPr>
          <w:rFonts w:eastAsia="Source Serif Pro" w:cs="Source Serif Pro"/>
          <w:b/>
          <w:color w:val="000000" w:themeColor="text1"/>
        </w:rPr>
        <w:t>.</w:t>
      </w:r>
      <w:r w:rsidRPr="00F84805">
        <w:rPr>
          <w:rFonts w:eastAsia="Source Serif Pro" w:cs="Source Serif Pro"/>
          <w:b/>
          <w:color w:val="000000" w:themeColor="text1"/>
        </w:rPr>
        <w:t>F</w:t>
      </w:r>
      <w:r w:rsidR="009B4CE5">
        <w:rPr>
          <w:rFonts w:eastAsia="Source Serif Pro" w:cs="Source Serif Pro"/>
          <w:b/>
          <w:color w:val="000000" w:themeColor="text1"/>
        </w:rPr>
        <w:t>.</w:t>
      </w:r>
      <w:r w:rsidRPr="00F84805">
        <w:rPr>
          <w:rFonts w:eastAsia="Source Serif Pro" w:cs="Source Serif Pro"/>
          <w:b/>
          <w:color w:val="000000" w:themeColor="text1"/>
        </w:rPr>
        <w:t>R</w:t>
      </w:r>
      <w:r w:rsidR="009B4CE5">
        <w:rPr>
          <w:rFonts w:eastAsia="Source Serif Pro" w:cs="Source Serif Pro"/>
          <w:b/>
          <w:color w:val="000000" w:themeColor="text1"/>
        </w:rPr>
        <w:t>.</w:t>
      </w:r>
      <w:r w:rsidRPr="00F84805">
        <w:rPr>
          <w:rFonts w:eastAsia="Source Serif Pro" w:cs="Source Serif Pro"/>
          <w:b/>
          <w:color w:val="000000" w:themeColor="text1"/>
        </w:rPr>
        <w:t xml:space="preserve"> part 359, or 5 C</w:t>
      </w:r>
      <w:r w:rsidR="009B4CE5">
        <w:rPr>
          <w:rFonts w:eastAsia="Source Serif Pro" w:cs="Source Serif Pro"/>
          <w:b/>
          <w:color w:val="000000" w:themeColor="text1"/>
        </w:rPr>
        <w:t>.</w:t>
      </w:r>
      <w:r w:rsidRPr="00F84805">
        <w:rPr>
          <w:rFonts w:eastAsia="Source Serif Pro" w:cs="Source Serif Pro"/>
          <w:b/>
          <w:color w:val="000000" w:themeColor="text1"/>
        </w:rPr>
        <w:t>F</w:t>
      </w:r>
      <w:r w:rsidR="009B4CE5">
        <w:rPr>
          <w:rFonts w:eastAsia="Source Serif Pro" w:cs="Source Serif Pro"/>
          <w:b/>
          <w:color w:val="000000" w:themeColor="text1"/>
        </w:rPr>
        <w:t>.</w:t>
      </w:r>
      <w:r w:rsidRPr="00F84805">
        <w:rPr>
          <w:rFonts w:eastAsia="Source Serif Pro" w:cs="Source Serif Pro"/>
          <w:b/>
          <w:color w:val="000000" w:themeColor="text1"/>
        </w:rPr>
        <w:t>R</w:t>
      </w:r>
      <w:r w:rsidR="009B4CE5">
        <w:rPr>
          <w:rFonts w:eastAsia="Source Serif Pro" w:cs="Source Serif Pro"/>
          <w:b/>
          <w:color w:val="000000" w:themeColor="text1"/>
        </w:rPr>
        <w:t>.</w:t>
      </w:r>
      <w:r w:rsidRPr="00F84805">
        <w:rPr>
          <w:rFonts w:eastAsia="Source Serif Pro" w:cs="Source Serif Pro"/>
          <w:b/>
          <w:color w:val="000000" w:themeColor="text1"/>
        </w:rPr>
        <w:t xml:space="preserve"> part 752). </w:t>
      </w:r>
      <w:r w:rsidRPr="00F84805">
        <w:rPr>
          <w:rFonts w:eastAsia="Source Serif Pro" w:cs="Source Serif Pro"/>
          <w:color w:val="000000" w:themeColor="text1"/>
        </w:rPr>
        <w:t>For excepted service, contractor, or DOD nonappropriated fund positions, agenc</w:t>
      </w:r>
      <w:r w:rsidR="00D32294" w:rsidRPr="00F84805">
        <w:rPr>
          <w:rFonts w:eastAsia="Source Serif Pro" w:cs="Source Serif Pro"/>
          <w:color w:val="000000" w:themeColor="text1"/>
        </w:rPr>
        <w:t>ies</w:t>
      </w:r>
      <w:r w:rsidRPr="00F84805">
        <w:rPr>
          <w:rFonts w:eastAsia="Source Serif Pro" w:cs="Source Serif Pro"/>
          <w:color w:val="000000" w:themeColor="text1"/>
        </w:rPr>
        <w:t xml:space="preserve"> may cite this factor, as applicable.</w:t>
      </w:r>
    </w:p>
    <w:p w14:paraId="1594036B" w14:textId="63816059" w:rsidR="00531854" w:rsidRPr="00F84805" w:rsidRDefault="00531854" w:rsidP="64DB3116">
      <w:pPr>
        <w:spacing w:after="0"/>
        <w:rPr>
          <w:rFonts w:eastAsia="Source Serif Pro" w:cs="Source Serif Pro"/>
          <w:b/>
          <w:bCs/>
          <w:color w:val="000000" w:themeColor="text1"/>
        </w:rPr>
      </w:pPr>
      <w:r w:rsidRPr="00F84805">
        <w:rPr>
          <w:rFonts w:eastAsia="Times New Roman" w:cs="Times New Roman"/>
          <w:spacing w:val="0"/>
        </w:rPr>
        <w:t>Given that falsification is inherently dishonest, the conduct may be disqualifying under one of the following two factors: Factor 3</w:t>
      </w:r>
      <w:r w:rsidR="00D43A86">
        <w:rPr>
          <w:rFonts w:eastAsia="Times New Roman" w:cs="Times New Roman"/>
          <w:spacing w:val="0"/>
        </w:rPr>
        <w:t xml:space="preserve"> </w:t>
      </w:r>
      <w:r w:rsidRPr="00F84805">
        <w:rPr>
          <w:rFonts w:eastAsia="Times New Roman" w:cs="Times New Roman"/>
          <w:spacing w:val="0"/>
        </w:rPr>
        <w:t>- material, intentional false statement, or deception or fraud, in examination or appointment or Factor 4</w:t>
      </w:r>
      <w:r w:rsidR="00285AB1">
        <w:rPr>
          <w:rFonts w:eastAsia="Times New Roman" w:cs="Times New Roman"/>
          <w:spacing w:val="0"/>
        </w:rPr>
        <w:t xml:space="preserve"> dishonest</w:t>
      </w:r>
      <w:r w:rsidRPr="00F84805">
        <w:rPr>
          <w:rFonts w:eastAsia="Times New Roman" w:cs="Times New Roman"/>
          <w:spacing w:val="0"/>
        </w:rPr>
        <w:t xml:space="preserve"> </w:t>
      </w:r>
      <w:r w:rsidRPr="64DB3116">
        <w:rPr>
          <w:rFonts w:eastAsia="Times New Roman" w:cs="Times New Roman"/>
        </w:rPr>
        <w:t>conduct ,</w:t>
      </w:r>
      <w:r w:rsidRPr="00F84805">
        <w:rPr>
          <w:rFonts w:eastAsia="Times New Roman" w:cs="Times New Roman"/>
          <w:spacing w:val="0"/>
        </w:rPr>
        <w:t xml:space="preserve"> but never both. </w:t>
      </w:r>
      <w:r w:rsidRPr="64DB3116">
        <w:rPr>
          <w:rFonts w:eastAsia="Times New Roman" w:cs="Times New Roman"/>
        </w:rPr>
        <w:t>The specific factor that applies will depend upon whether or not</w:t>
      </w:r>
      <w:r w:rsidRPr="00F84805">
        <w:rPr>
          <w:rFonts w:eastAsia="Times New Roman" w:cs="Times New Roman"/>
          <w:spacing w:val="0"/>
        </w:rPr>
        <w:t xml:space="preserve"> the false statement was made in connection with examination or appointment to a competitive service or career </w:t>
      </w:r>
      <w:r w:rsidRPr="64DB3116">
        <w:rPr>
          <w:rFonts w:eastAsia="Times New Roman" w:cs="Times New Roman"/>
        </w:rPr>
        <w:t>Senior Executive Service</w:t>
      </w:r>
      <w:r w:rsidRPr="00F84805">
        <w:rPr>
          <w:rFonts w:eastAsia="Times New Roman" w:cs="Times New Roman"/>
          <w:spacing w:val="0"/>
        </w:rPr>
        <w:t xml:space="preserve"> position. In accordance with 5 C</w:t>
      </w:r>
      <w:r w:rsidR="009B4CE5">
        <w:rPr>
          <w:rFonts w:eastAsia="Times New Roman" w:cs="Times New Roman"/>
          <w:spacing w:val="0"/>
        </w:rPr>
        <w:t>.</w:t>
      </w:r>
      <w:r w:rsidRPr="00F84805">
        <w:rPr>
          <w:rFonts w:eastAsia="Times New Roman" w:cs="Times New Roman"/>
          <w:spacing w:val="0"/>
        </w:rPr>
        <w:t>F</w:t>
      </w:r>
      <w:r w:rsidR="009B4CE5">
        <w:rPr>
          <w:rFonts w:eastAsia="Times New Roman" w:cs="Times New Roman"/>
          <w:spacing w:val="0"/>
        </w:rPr>
        <w:t>.</w:t>
      </w:r>
      <w:r w:rsidRPr="00F84805">
        <w:rPr>
          <w:rFonts w:eastAsia="Times New Roman" w:cs="Times New Roman"/>
          <w:spacing w:val="0"/>
        </w:rPr>
        <w:t>R</w:t>
      </w:r>
      <w:r w:rsidR="009B4CE5">
        <w:rPr>
          <w:rFonts w:eastAsia="Times New Roman" w:cs="Times New Roman"/>
          <w:spacing w:val="0"/>
        </w:rPr>
        <w:t>.</w:t>
      </w:r>
      <w:r w:rsidRPr="00F84805">
        <w:rPr>
          <w:rFonts w:eastAsia="Times New Roman" w:cs="Times New Roman"/>
          <w:spacing w:val="0"/>
        </w:rPr>
        <w:t xml:space="preserve"> </w:t>
      </w:r>
      <w:r w:rsidR="04B5B6D1" w:rsidRPr="548D0660">
        <w:rPr>
          <w:rFonts w:eastAsia="Times New Roman" w:cs="Times New Roman"/>
          <w:color w:val="000000" w:themeColor="text1"/>
        </w:rPr>
        <w:t>§</w:t>
      </w:r>
      <w:r w:rsidRPr="548D0660">
        <w:rPr>
          <w:rFonts w:eastAsia="Times New Roman" w:cs="Times New Roman"/>
          <w:color w:val="000000" w:themeColor="text1"/>
        </w:rPr>
        <w:t xml:space="preserve"> </w:t>
      </w:r>
      <w:r w:rsidRPr="00F84805">
        <w:rPr>
          <w:rFonts w:eastAsia="Times New Roman" w:cs="Times New Roman"/>
          <w:spacing w:val="0"/>
        </w:rPr>
        <w:t xml:space="preserve">731.103(f), OPM retains </w:t>
      </w:r>
      <w:r w:rsidRPr="00F84805">
        <w:rPr>
          <w:rFonts w:eastAsia="Times New Roman" w:cs="Times New Roman"/>
          <w:color w:val="333333"/>
          <w:spacing w:val="0"/>
          <w:shd w:val="clear" w:color="auto" w:fill="FFFFFF"/>
        </w:rPr>
        <w:t>jurisdiction to make final determinations and take actions in all suitability cases where there is evidence that there has been a </w:t>
      </w:r>
      <w:hyperlink r:id="rId20" w:tooltip="material" w:history="1">
        <w:r w:rsidRPr="00F84805">
          <w:rPr>
            <w:rFonts w:eastAsia="Times New Roman" w:cs="Times New Roman"/>
            <w:spacing w:val="0"/>
            <w:u w:val="single"/>
            <w:shd w:val="clear" w:color="auto" w:fill="FFFFFF"/>
          </w:rPr>
          <w:t>material</w:t>
        </w:r>
      </w:hyperlink>
      <w:r w:rsidRPr="00F84805">
        <w:rPr>
          <w:rFonts w:eastAsia="Times New Roman" w:cs="Times New Roman"/>
          <w:spacing w:val="0"/>
          <w:shd w:val="clear" w:color="auto" w:fill="FFFFFF"/>
        </w:rPr>
        <w:t xml:space="preserve">, </w:t>
      </w:r>
      <w:r w:rsidRPr="00F84805">
        <w:rPr>
          <w:rFonts w:eastAsia="Times New Roman" w:cs="Times New Roman"/>
          <w:color w:val="333333"/>
          <w:spacing w:val="0"/>
          <w:shd w:val="clear" w:color="auto" w:fill="FFFFFF"/>
        </w:rPr>
        <w:t>intentional false statement, or deception or fraud in examination or appointment, and only OPM may apply these factors. Regardless of the position, t</w:t>
      </w:r>
      <w:r w:rsidRPr="00F84805">
        <w:rPr>
          <w:rFonts w:eastAsia="Times New Roman" w:cs="Times New Roman"/>
          <w:spacing w:val="0"/>
        </w:rPr>
        <w:t xml:space="preserve">he assessment of falsification </w:t>
      </w:r>
      <w:r w:rsidRPr="64DB3116">
        <w:rPr>
          <w:rFonts w:eastAsia="Times New Roman" w:cs="Times New Roman"/>
        </w:rPr>
        <w:t xml:space="preserve">and applicability of which factor </w:t>
      </w:r>
      <w:r w:rsidRPr="00F84805">
        <w:rPr>
          <w:rFonts w:eastAsia="Times New Roman" w:cs="Times New Roman"/>
          <w:spacing w:val="0"/>
        </w:rPr>
        <w:t xml:space="preserve">involves determining that the falsification is both material (relevant) and intentional (with knowledge and purpose). </w:t>
      </w:r>
    </w:p>
    <w:p w14:paraId="7FA93D7C" w14:textId="295A91A5" w:rsidR="00EA1EA7" w:rsidRPr="00804F31" w:rsidRDefault="00EA1EA7" w:rsidP="0072005B">
      <w:pPr>
        <w:pStyle w:val="Heading4"/>
      </w:pPr>
      <w:r w:rsidRPr="00804F31">
        <w:t>General Application / Discussion</w:t>
      </w:r>
    </w:p>
    <w:p w14:paraId="1AA8AF44" w14:textId="35364913" w:rsidR="00EA1EA7" w:rsidRPr="00F84805" w:rsidRDefault="00EA1EA7" w:rsidP="00332FA6">
      <w:pPr>
        <w:spacing w:after="0"/>
        <w:rPr>
          <w:rFonts w:eastAsia="Source Serif Pro" w:cs="Source Serif Pro"/>
          <w:color w:val="000000" w:themeColor="text1"/>
        </w:rPr>
      </w:pPr>
      <w:r w:rsidRPr="00F84805">
        <w:rPr>
          <w:rFonts w:eastAsia="Source Serif Pro" w:cs="Source Serif Pro"/>
          <w:b/>
          <w:color w:val="000000" w:themeColor="text1"/>
        </w:rPr>
        <w:t>Materiality of Falsification.</w:t>
      </w:r>
      <w:r w:rsidRPr="00F84805">
        <w:rPr>
          <w:rFonts w:eastAsia="Source Serif Pro" w:cs="Source Serif Pro"/>
          <w:color w:val="000000" w:themeColor="text1"/>
        </w:rPr>
        <w:t xml:space="preserve"> A material statement, as defined in 5 CFR part 731 and used in the phrase “material, intentional false statement,” is one that affects, or has a natural tendency to affect,</w:t>
      </w:r>
      <w:r w:rsidR="006202E5" w:rsidRPr="00F84805">
        <w:rPr>
          <w:rFonts w:eastAsia="Source Serif Pro" w:cs="Source Serif Pro"/>
          <w:color w:val="000000" w:themeColor="text1"/>
        </w:rPr>
        <w:t xml:space="preserve"> or is capable of influencing,</w:t>
      </w:r>
      <w:r w:rsidRPr="00F84805">
        <w:rPr>
          <w:rFonts w:eastAsia="Source Serif Pro" w:cs="Source Serif Pro"/>
          <w:color w:val="000000" w:themeColor="text1"/>
        </w:rPr>
        <w:t xml:space="preserve"> an official decision even if OPM or an agency does not rely upon it.</w:t>
      </w:r>
    </w:p>
    <w:p w14:paraId="545888DC" w14:textId="15D610D2" w:rsidR="00EA1EA7" w:rsidRPr="00F84805" w:rsidRDefault="00EA1EA7" w:rsidP="00332FA6">
      <w:pPr>
        <w:spacing w:after="60"/>
        <w:rPr>
          <w:rFonts w:eastAsia="Source Serif Pro" w:cs="Source Serif Pro"/>
          <w:color w:val="000000" w:themeColor="text1"/>
        </w:rPr>
      </w:pPr>
      <w:r w:rsidRPr="00F84805">
        <w:rPr>
          <w:rFonts w:eastAsia="Source Serif Pro" w:cs="Source Serif Pro"/>
          <w:color w:val="000000" w:themeColor="text1"/>
        </w:rPr>
        <w:t>Examples of official decisions:</w:t>
      </w:r>
    </w:p>
    <w:p w14:paraId="638752DC" w14:textId="0BC02623" w:rsidR="00EA1EA7" w:rsidRPr="00F84805" w:rsidRDefault="00EA1EA7" w:rsidP="00A06D8B">
      <w:pPr>
        <w:pStyle w:val="ListParagraph"/>
        <w:numPr>
          <w:ilvl w:val="0"/>
          <w:numId w:val="42"/>
        </w:numPr>
        <w:spacing w:after="0"/>
        <w:contextualSpacing w:val="0"/>
        <w:rPr>
          <w:rFonts w:eastAsia="Source Serif Pro" w:cs="Source Serif Pro"/>
          <w:color w:val="000000" w:themeColor="text1"/>
        </w:rPr>
      </w:pPr>
      <w:r w:rsidRPr="00F84805">
        <w:rPr>
          <w:rFonts w:eastAsia="Source Serif Pro" w:cs="Source Serif Pro"/>
          <w:color w:val="000000" w:themeColor="text1"/>
        </w:rPr>
        <w:t>Individual meets qualifications (experience, education, etc.) requirements of the job</w:t>
      </w:r>
      <w:r w:rsidR="009D026B" w:rsidRPr="00F84805">
        <w:rPr>
          <w:rFonts w:eastAsia="Source Serif Pro" w:cs="Source Serif Pro"/>
          <w:color w:val="000000" w:themeColor="text1"/>
        </w:rPr>
        <w:t>.</w:t>
      </w:r>
    </w:p>
    <w:p w14:paraId="5982B430" w14:textId="0A4B8B28" w:rsidR="00EA1EA7" w:rsidRPr="00F84805" w:rsidRDefault="00EA1EA7" w:rsidP="00A06D8B">
      <w:pPr>
        <w:pStyle w:val="ListParagraph"/>
        <w:numPr>
          <w:ilvl w:val="0"/>
          <w:numId w:val="42"/>
        </w:numPr>
        <w:spacing w:after="0"/>
        <w:contextualSpacing w:val="0"/>
        <w:rPr>
          <w:rFonts w:eastAsia="Source Serif Pro" w:cs="Source Serif Pro"/>
          <w:color w:val="000000" w:themeColor="text1"/>
        </w:rPr>
      </w:pPr>
      <w:r w:rsidRPr="00F84805">
        <w:rPr>
          <w:rFonts w:eastAsia="Source Serif Pro" w:cs="Source Serif Pro"/>
          <w:color w:val="000000" w:themeColor="text1"/>
        </w:rPr>
        <w:t>Individual meets medical requirements of the job</w:t>
      </w:r>
      <w:r w:rsidR="009D026B" w:rsidRPr="00F84805">
        <w:rPr>
          <w:rFonts w:eastAsia="Source Serif Pro" w:cs="Source Serif Pro"/>
          <w:color w:val="000000" w:themeColor="text1"/>
        </w:rPr>
        <w:t>.</w:t>
      </w:r>
    </w:p>
    <w:p w14:paraId="06476F5B" w14:textId="496931EC" w:rsidR="00EA1EA7" w:rsidRPr="00F84805" w:rsidRDefault="00EA1EA7" w:rsidP="00A06D8B">
      <w:pPr>
        <w:pStyle w:val="ListParagraph"/>
        <w:numPr>
          <w:ilvl w:val="0"/>
          <w:numId w:val="42"/>
        </w:numPr>
        <w:spacing w:after="0"/>
        <w:contextualSpacing w:val="0"/>
        <w:rPr>
          <w:rFonts w:eastAsia="Source Serif Pro" w:cs="Source Serif Pro"/>
          <w:color w:val="000000" w:themeColor="text1"/>
        </w:rPr>
      </w:pPr>
      <w:r w:rsidRPr="00F84805">
        <w:rPr>
          <w:rFonts w:eastAsia="Source Serif Pro" w:cs="Source Serif Pro"/>
          <w:color w:val="000000" w:themeColor="text1"/>
        </w:rPr>
        <w:t>Individual meets suitability or fitness requirements for Federal employment</w:t>
      </w:r>
      <w:r w:rsidR="009D026B" w:rsidRPr="00F84805">
        <w:rPr>
          <w:rFonts w:eastAsia="Source Serif Pro" w:cs="Source Serif Pro"/>
          <w:color w:val="000000" w:themeColor="text1"/>
        </w:rPr>
        <w:t>.</w:t>
      </w:r>
    </w:p>
    <w:p w14:paraId="7D87A855" w14:textId="7E957895" w:rsidR="00EA1EA7" w:rsidRPr="00F84805" w:rsidRDefault="00EA1EA7" w:rsidP="00A06D8B">
      <w:pPr>
        <w:pStyle w:val="ListParagraph"/>
        <w:numPr>
          <w:ilvl w:val="0"/>
          <w:numId w:val="42"/>
        </w:numPr>
        <w:spacing w:after="0"/>
        <w:contextualSpacing w:val="0"/>
        <w:rPr>
          <w:rFonts w:eastAsia="Source Serif Pro" w:cs="Source Serif Pro"/>
          <w:color w:val="000000" w:themeColor="text1"/>
        </w:rPr>
      </w:pPr>
      <w:r w:rsidRPr="00F84805">
        <w:rPr>
          <w:rFonts w:eastAsia="Source Serif Pro" w:cs="Source Serif Pro"/>
          <w:color w:val="000000" w:themeColor="text1"/>
        </w:rPr>
        <w:t>Individual is eligible for Veteran’s preference, student trainee program, etc. (applies to any special programs or opportunities limited to certain individuals)</w:t>
      </w:r>
      <w:r w:rsidR="009D026B" w:rsidRPr="00F84805">
        <w:rPr>
          <w:rFonts w:eastAsia="Source Serif Pro" w:cs="Source Serif Pro"/>
          <w:color w:val="000000" w:themeColor="text1"/>
        </w:rPr>
        <w:t>.</w:t>
      </w:r>
    </w:p>
    <w:p w14:paraId="5851C082" w14:textId="77C2486C" w:rsidR="00EA1EA7" w:rsidRPr="00F84805" w:rsidRDefault="00EA1EA7" w:rsidP="00A06D8B">
      <w:pPr>
        <w:pStyle w:val="ListParagraph"/>
        <w:numPr>
          <w:ilvl w:val="0"/>
          <w:numId w:val="42"/>
        </w:numPr>
        <w:spacing w:after="0"/>
        <w:contextualSpacing w:val="0"/>
        <w:rPr>
          <w:rFonts w:eastAsia="Source Serif Pro" w:cs="Source Serif Pro"/>
          <w:color w:val="000000" w:themeColor="text1"/>
        </w:rPr>
      </w:pPr>
      <w:r w:rsidRPr="00F84805">
        <w:rPr>
          <w:rFonts w:eastAsia="Source Serif Pro" w:cs="Source Serif Pro"/>
          <w:color w:val="000000" w:themeColor="text1"/>
        </w:rPr>
        <w:t>Individual is a “better” candidate for a particular position than others who have applied (i.e. responses during interview process, etc.)</w:t>
      </w:r>
      <w:r w:rsidR="009D026B" w:rsidRPr="00F84805">
        <w:rPr>
          <w:rFonts w:eastAsia="Source Serif Pro" w:cs="Source Serif Pro"/>
          <w:color w:val="000000" w:themeColor="text1"/>
        </w:rPr>
        <w:t>.</w:t>
      </w:r>
    </w:p>
    <w:p w14:paraId="53533057" w14:textId="7741E291" w:rsidR="00EA1EA7" w:rsidRPr="00F84805" w:rsidRDefault="00EA1EA7" w:rsidP="00A06D8B">
      <w:pPr>
        <w:pStyle w:val="ListParagraph"/>
        <w:numPr>
          <w:ilvl w:val="0"/>
          <w:numId w:val="42"/>
        </w:numPr>
        <w:spacing w:after="0"/>
        <w:contextualSpacing w:val="0"/>
        <w:rPr>
          <w:rFonts w:eastAsia="Source Serif Pro" w:cs="Source Serif Pro"/>
          <w:color w:val="000000" w:themeColor="text1"/>
        </w:rPr>
      </w:pPr>
      <w:r w:rsidRPr="00F84805">
        <w:rPr>
          <w:rFonts w:eastAsia="Source Serif Pro" w:cs="Source Serif Pro"/>
          <w:color w:val="000000" w:themeColor="text1"/>
        </w:rPr>
        <w:t>Decision to select over other applicants</w:t>
      </w:r>
      <w:r w:rsidR="009D026B" w:rsidRPr="00F84805">
        <w:rPr>
          <w:rFonts w:eastAsia="Source Serif Pro" w:cs="Source Serif Pro"/>
          <w:color w:val="000000" w:themeColor="text1"/>
        </w:rPr>
        <w:t>.</w:t>
      </w:r>
    </w:p>
    <w:p w14:paraId="158E9DF4" w14:textId="63236675" w:rsidR="006202E5" w:rsidRPr="00F84805" w:rsidRDefault="00EA1EA7" w:rsidP="00A06D8B">
      <w:pPr>
        <w:pStyle w:val="ListParagraph"/>
        <w:numPr>
          <w:ilvl w:val="0"/>
          <w:numId w:val="42"/>
        </w:numPr>
        <w:contextualSpacing w:val="0"/>
        <w:rPr>
          <w:rFonts w:eastAsia="Source Serif Pro" w:cs="Source Serif Pro"/>
          <w:color w:val="000000" w:themeColor="text1"/>
        </w:rPr>
      </w:pPr>
      <w:r w:rsidRPr="00F84805">
        <w:rPr>
          <w:rFonts w:eastAsia="Source Serif Pro" w:cs="Source Serif Pro"/>
          <w:color w:val="000000" w:themeColor="text1"/>
        </w:rPr>
        <w:t xml:space="preserve">Individual will meet requirements for </w:t>
      </w:r>
      <w:r w:rsidR="006202E5" w:rsidRPr="00F84805">
        <w:rPr>
          <w:rFonts w:eastAsia="Source Serif Pro" w:cs="Source Serif Pro"/>
          <w:color w:val="000000" w:themeColor="text1"/>
        </w:rPr>
        <w:t>s</w:t>
      </w:r>
      <w:r w:rsidRPr="00F84805">
        <w:rPr>
          <w:rFonts w:eastAsia="Source Serif Pro" w:cs="Source Serif Pro"/>
          <w:color w:val="000000" w:themeColor="text1"/>
        </w:rPr>
        <w:t>ecurity clearance (or public trust position or any other special conditions of the job).</w:t>
      </w:r>
    </w:p>
    <w:p w14:paraId="716B346C" w14:textId="0E192D74" w:rsidR="00EA1EA7" w:rsidRPr="00F84805" w:rsidRDefault="00EA1EA7" w:rsidP="003223FC">
      <w:pPr>
        <w:rPr>
          <w:rFonts w:eastAsia="Source Serif Pro" w:cs="Source Serif Pro"/>
          <w:color w:val="000000" w:themeColor="text1"/>
        </w:rPr>
      </w:pPr>
      <w:r w:rsidRPr="00F84805">
        <w:rPr>
          <w:rFonts w:eastAsia="Source Serif Pro" w:cs="Source Serif Pro"/>
          <w:color w:val="000000" w:themeColor="text1"/>
        </w:rPr>
        <w:lastRenderedPageBreak/>
        <w:t xml:space="preserve">When the matter falsified would have been capable of influencing an official decision about the individual’s suitability or fitness for employment such as because of its recency and severity, it is material at face value. Additionally, when there is a nexus between the position and the matter falsified, it is material. Consider the nature of the unadmitted issue as it relates to position sensitivity and public trust. Falsification is material if the undisclosed issue </w:t>
      </w:r>
      <w:r w:rsidR="00C23C1A" w:rsidRPr="00F84805">
        <w:rPr>
          <w:rFonts w:eastAsia="Source Serif Pro" w:cs="Source Serif Pro"/>
          <w:color w:val="000000" w:themeColor="text1"/>
        </w:rPr>
        <w:t>can influence</w:t>
      </w:r>
      <w:r w:rsidRPr="00F84805">
        <w:rPr>
          <w:rFonts w:eastAsia="Source Serif Pro" w:cs="Source Serif Pro"/>
          <w:color w:val="000000" w:themeColor="text1"/>
        </w:rPr>
        <w:t xml:space="preserve"> or has a natural tendency to affect, or affects, decisions concerning the assessment and selection of the person for the position to be filled, or the person’s ability to meet ongoing conditions of employment in the position. Failure to admit prior conduct having a direct relation to the duties required in the position sought is considered a material falsification. The following are examples:</w:t>
      </w:r>
    </w:p>
    <w:p w14:paraId="38C6F6BD" w14:textId="78B629CC" w:rsidR="00EA1EA7" w:rsidRPr="00804F31" w:rsidRDefault="00EA1EA7" w:rsidP="00ED7EBE">
      <w:pPr>
        <w:pStyle w:val="Heading5"/>
      </w:pPr>
      <w:r w:rsidRPr="00804F31">
        <w:t>Position Nexus Falsification Examples</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35"/>
        <w:gridCol w:w="3180"/>
        <w:gridCol w:w="4140"/>
      </w:tblGrid>
      <w:tr w:rsidR="00EA1EA7" w:rsidRPr="00804F31" w14:paraId="4F0B06CF" w14:textId="77777777" w:rsidTr="2AEFA46C">
        <w:trPr>
          <w:trHeight w:val="300"/>
        </w:trPr>
        <w:tc>
          <w:tcPr>
            <w:tcW w:w="1935" w:type="dxa"/>
            <w:tcBorders>
              <w:top w:val="single" w:sz="6" w:space="0" w:color="auto"/>
              <w:left w:val="single" w:sz="6" w:space="0" w:color="auto"/>
              <w:bottom w:val="single" w:sz="6" w:space="0" w:color="auto"/>
              <w:right w:val="single" w:sz="6" w:space="0" w:color="auto"/>
            </w:tcBorders>
            <w:tcMar>
              <w:left w:w="105" w:type="dxa"/>
              <w:right w:w="105" w:type="dxa"/>
            </w:tcMar>
          </w:tcPr>
          <w:p w14:paraId="43F492E4" w14:textId="77777777" w:rsidR="00EA1EA7" w:rsidRPr="007A4A89" w:rsidRDefault="00EA1EA7" w:rsidP="007A4A89">
            <w:pPr>
              <w:widowControl w:val="0"/>
              <w:spacing w:after="0"/>
              <w:jc w:val="center"/>
              <w:rPr>
                <w:rFonts w:eastAsia="Source Serif Pro" w:cs="Source Serif Pro"/>
              </w:rPr>
            </w:pPr>
            <w:r w:rsidRPr="007A4A89">
              <w:rPr>
                <w:rFonts w:eastAsia="Source Serif Pro" w:cs="Source Serif Pro"/>
                <w:b/>
              </w:rPr>
              <w:t>Position</w:t>
            </w:r>
          </w:p>
        </w:tc>
        <w:tc>
          <w:tcPr>
            <w:tcW w:w="3180" w:type="dxa"/>
            <w:tcBorders>
              <w:top w:val="single" w:sz="6" w:space="0" w:color="auto"/>
              <w:left w:val="single" w:sz="6" w:space="0" w:color="auto"/>
              <w:bottom w:val="single" w:sz="6" w:space="0" w:color="auto"/>
              <w:right w:val="single" w:sz="6" w:space="0" w:color="auto"/>
            </w:tcBorders>
            <w:tcMar>
              <w:left w:w="105" w:type="dxa"/>
              <w:right w:w="105" w:type="dxa"/>
            </w:tcMar>
          </w:tcPr>
          <w:p w14:paraId="18B413B1"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eastAsia="Source Serif Pro" w:cs="Source Serif Pro"/>
              </w:rPr>
            </w:pPr>
            <w:r w:rsidRPr="007A4A89">
              <w:rPr>
                <w:rFonts w:eastAsia="Source Serif Pro" w:cs="Source Serif Pro"/>
                <w:b/>
              </w:rPr>
              <w:t>Unadmitted Information</w:t>
            </w:r>
          </w:p>
        </w:tc>
        <w:tc>
          <w:tcPr>
            <w:tcW w:w="4140" w:type="dxa"/>
            <w:tcBorders>
              <w:top w:val="single" w:sz="6" w:space="0" w:color="auto"/>
              <w:left w:val="single" w:sz="6" w:space="0" w:color="auto"/>
              <w:bottom w:val="single" w:sz="6" w:space="0" w:color="auto"/>
              <w:right w:val="single" w:sz="6" w:space="0" w:color="auto"/>
            </w:tcBorders>
            <w:tcMar>
              <w:left w:w="105" w:type="dxa"/>
              <w:right w:w="105" w:type="dxa"/>
            </w:tcMar>
          </w:tcPr>
          <w:p w14:paraId="4F641F21"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eastAsia="Source Serif Pro" w:cs="Source Serif Pro"/>
              </w:rPr>
            </w:pPr>
            <w:r w:rsidRPr="007A4A89">
              <w:rPr>
                <w:rFonts w:eastAsia="Source Serif Pro" w:cs="Source Serif Pro"/>
                <w:b/>
              </w:rPr>
              <w:t>Discussion</w:t>
            </w:r>
          </w:p>
        </w:tc>
      </w:tr>
      <w:tr w:rsidR="00EA1EA7" w:rsidRPr="00804F31" w14:paraId="7A9E7108" w14:textId="77777777" w:rsidTr="2AEFA46C">
        <w:trPr>
          <w:trHeight w:val="300"/>
        </w:trPr>
        <w:tc>
          <w:tcPr>
            <w:tcW w:w="1935" w:type="dxa"/>
            <w:tcBorders>
              <w:top w:val="single" w:sz="6" w:space="0" w:color="auto"/>
              <w:left w:val="single" w:sz="6" w:space="0" w:color="auto"/>
              <w:bottom w:val="single" w:sz="6" w:space="0" w:color="auto"/>
              <w:right w:val="single" w:sz="6" w:space="0" w:color="auto"/>
            </w:tcBorders>
            <w:tcMar>
              <w:left w:w="105" w:type="dxa"/>
              <w:right w:w="105" w:type="dxa"/>
            </w:tcMar>
          </w:tcPr>
          <w:p w14:paraId="75111A86"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eastAsia="Source Serif Pro" w:cs="Source Serif Pro"/>
              </w:rPr>
            </w:pPr>
            <w:r w:rsidRPr="007A4A89">
              <w:rPr>
                <w:rFonts w:eastAsia="Source Serif Pro" w:cs="Source Serif Pro"/>
              </w:rPr>
              <w:t>Data Transcriber</w:t>
            </w:r>
          </w:p>
        </w:tc>
        <w:tc>
          <w:tcPr>
            <w:tcW w:w="3180" w:type="dxa"/>
            <w:tcBorders>
              <w:top w:val="single" w:sz="6" w:space="0" w:color="auto"/>
              <w:left w:val="single" w:sz="6" w:space="0" w:color="auto"/>
              <w:bottom w:val="single" w:sz="6" w:space="0" w:color="auto"/>
              <w:right w:val="single" w:sz="6" w:space="0" w:color="auto"/>
            </w:tcBorders>
            <w:tcMar>
              <w:left w:w="105" w:type="dxa"/>
              <w:right w:w="105" w:type="dxa"/>
            </w:tcMar>
          </w:tcPr>
          <w:p w14:paraId="2C337307"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eastAsia="Source Serif Pro" w:cs="Source Serif Pro"/>
              </w:rPr>
            </w:pPr>
            <w:r w:rsidRPr="007A4A89">
              <w:rPr>
                <w:rFonts w:eastAsia="Source Serif Pro" w:cs="Source Serif Pro"/>
              </w:rPr>
              <w:t>Termination from recent Secretary position for poor performance - could not type fast enough</w:t>
            </w:r>
          </w:p>
        </w:tc>
        <w:tc>
          <w:tcPr>
            <w:tcW w:w="4140" w:type="dxa"/>
            <w:tcBorders>
              <w:top w:val="single" w:sz="6" w:space="0" w:color="auto"/>
              <w:left w:val="single" w:sz="6" w:space="0" w:color="auto"/>
              <w:bottom w:val="single" w:sz="6" w:space="0" w:color="auto"/>
              <w:right w:val="single" w:sz="6" w:space="0" w:color="auto"/>
            </w:tcBorders>
            <w:tcMar>
              <w:left w:w="105" w:type="dxa"/>
              <w:right w:w="105" w:type="dxa"/>
            </w:tcMar>
          </w:tcPr>
          <w:p w14:paraId="4CD0A032"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eastAsia="Source Serif Pro" w:cs="Source Serif Pro"/>
              </w:rPr>
            </w:pPr>
            <w:r w:rsidRPr="007A4A89">
              <w:rPr>
                <w:rFonts w:eastAsia="Source Serif Pro" w:cs="Source Serif Pro"/>
              </w:rPr>
              <w:t>It is reasonable to conclude anyone making a hiring decision for this position, given the choice, would select someone with favorable performance references over someone who could not meet the expectations of a position similar to that sought.</w:t>
            </w:r>
          </w:p>
        </w:tc>
      </w:tr>
      <w:tr w:rsidR="00EA1EA7" w:rsidRPr="00804F31" w14:paraId="1C74DB17" w14:textId="77777777" w:rsidTr="2AEFA46C">
        <w:trPr>
          <w:trHeight w:val="300"/>
        </w:trPr>
        <w:tc>
          <w:tcPr>
            <w:tcW w:w="1935" w:type="dxa"/>
            <w:tcBorders>
              <w:top w:val="single" w:sz="6" w:space="0" w:color="auto"/>
              <w:left w:val="single" w:sz="6" w:space="0" w:color="auto"/>
              <w:bottom w:val="single" w:sz="6" w:space="0" w:color="auto"/>
              <w:right w:val="single" w:sz="6" w:space="0" w:color="auto"/>
            </w:tcBorders>
            <w:tcMar>
              <w:left w:w="105" w:type="dxa"/>
              <w:right w:w="105" w:type="dxa"/>
            </w:tcMar>
          </w:tcPr>
          <w:p w14:paraId="2B633C10"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eastAsia="Source Serif Pro" w:cs="Source Serif Pro"/>
              </w:rPr>
            </w:pPr>
            <w:r w:rsidRPr="007A4A89">
              <w:rPr>
                <w:rFonts w:eastAsia="Source Serif Pro" w:cs="Source Serif Pro"/>
              </w:rPr>
              <w:t>Nurse</w:t>
            </w:r>
          </w:p>
        </w:tc>
        <w:tc>
          <w:tcPr>
            <w:tcW w:w="3180" w:type="dxa"/>
            <w:tcBorders>
              <w:top w:val="single" w:sz="6" w:space="0" w:color="auto"/>
              <w:left w:val="single" w:sz="6" w:space="0" w:color="auto"/>
              <w:bottom w:val="single" w:sz="6" w:space="0" w:color="auto"/>
              <w:right w:val="single" w:sz="6" w:space="0" w:color="auto"/>
            </w:tcBorders>
            <w:tcMar>
              <w:left w:w="105" w:type="dxa"/>
              <w:right w:w="105" w:type="dxa"/>
            </w:tcMar>
          </w:tcPr>
          <w:p w14:paraId="19040AE8"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eastAsia="Source Serif Pro" w:cs="Source Serif Pro"/>
              </w:rPr>
            </w:pPr>
            <w:r w:rsidRPr="007A4A89">
              <w:rPr>
                <w:rFonts w:eastAsia="Source Serif Pro" w:cs="Source Serif Pro"/>
              </w:rPr>
              <w:t>Full extent of past drug use not admitted</w:t>
            </w:r>
          </w:p>
        </w:tc>
        <w:tc>
          <w:tcPr>
            <w:tcW w:w="4140" w:type="dxa"/>
            <w:tcBorders>
              <w:top w:val="single" w:sz="6" w:space="0" w:color="auto"/>
              <w:left w:val="single" w:sz="6" w:space="0" w:color="auto"/>
              <w:bottom w:val="single" w:sz="6" w:space="0" w:color="auto"/>
              <w:right w:val="single" w:sz="6" w:space="0" w:color="auto"/>
            </w:tcBorders>
            <w:tcMar>
              <w:left w:w="105" w:type="dxa"/>
              <w:right w:w="105" w:type="dxa"/>
            </w:tcMar>
          </w:tcPr>
          <w:p w14:paraId="4B2318A2"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eastAsia="Source Serif Pro" w:cs="Source Serif Pro"/>
              </w:rPr>
            </w:pPr>
            <w:r w:rsidRPr="007A4A89">
              <w:rPr>
                <w:rFonts w:eastAsia="Source Serif Pro" w:cs="Source Serif Pro"/>
              </w:rPr>
              <w:t>Potential access to narcotics is a concern given their past history.</w:t>
            </w:r>
          </w:p>
        </w:tc>
      </w:tr>
      <w:tr w:rsidR="00EA1EA7" w:rsidRPr="00804F31" w14:paraId="39A35A03" w14:textId="77777777" w:rsidTr="2AEFA46C">
        <w:trPr>
          <w:trHeight w:val="300"/>
        </w:trPr>
        <w:tc>
          <w:tcPr>
            <w:tcW w:w="1935" w:type="dxa"/>
            <w:tcBorders>
              <w:top w:val="single" w:sz="6" w:space="0" w:color="auto"/>
              <w:left w:val="single" w:sz="6" w:space="0" w:color="auto"/>
              <w:bottom w:val="single" w:sz="6" w:space="0" w:color="auto"/>
              <w:right w:val="single" w:sz="6" w:space="0" w:color="auto"/>
            </w:tcBorders>
            <w:tcMar>
              <w:left w:w="105" w:type="dxa"/>
              <w:right w:w="105" w:type="dxa"/>
            </w:tcMar>
          </w:tcPr>
          <w:p w14:paraId="4A05CBD5"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eastAsia="Source Serif Pro" w:cs="Source Serif Pro"/>
              </w:rPr>
            </w:pPr>
            <w:r w:rsidRPr="007A4A89">
              <w:rPr>
                <w:rFonts w:eastAsia="Source Serif Pro" w:cs="Source Serif Pro"/>
              </w:rPr>
              <w:t>Professional Accountant</w:t>
            </w:r>
          </w:p>
        </w:tc>
        <w:tc>
          <w:tcPr>
            <w:tcW w:w="3180" w:type="dxa"/>
            <w:tcBorders>
              <w:top w:val="single" w:sz="6" w:space="0" w:color="auto"/>
              <w:left w:val="single" w:sz="6" w:space="0" w:color="auto"/>
              <w:bottom w:val="single" w:sz="6" w:space="0" w:color="auto"/>
              <w:right w:val="single" w:sz="6" w:space="0" w:color="auto"/>
            </w:tcBorders>
            <w:tcMar>
              <w:left w:w="105" w:type="dxa"/>
              <w:right w:w="105" w:type="dxa"/>
            </w:tcMar>
          </w:tcPr>
          <w:p w14:paraId="5B699959"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eastAsia="Source Serif Pro" w:cs="Source Serif Pro"/>
              </w:rPr>
            </w:pPr>
            <w:r w:rsidRPr="007A4A89">
              <w:rPr>
                <w:rFonts w:eastAsia="Source Serif Pro" w:cs="Source Serif Pro"/>
              </w:rPr>
              <w:t xml:space="preserve">Fired for absenteeism/tardiness from another professional position in a different line of work </w:t>
            </w:r>
          </w:p>
        </w:tc>
        <w:tc>
          <w:tcPr>
            <w:tcW w:w="4140" w:type="dxa"/>
            <w:tcBorders>
              <w:top w:val="single" w:sz="6" w:space="0" w:color="auto"/>
              <w:left w:val="single" w:sz="6" w:space="0" w:color="auto"/>
              <w:bottom w:val="single" w:sz="6" w:space="0" w:color="auto"/>
              <w:right w:val="single" w:sz="6" w:space="0" w:color="auto"/>
            </w:tcBorders>
            <w:tcMar>
              <w:left w:w="105" w:type="dxa"/>
              <w:right w:w="105" w:type="dxa"/>
            </w:tcMar>
          </w:tcPr>
          <w:p w14:paraId="7D2CC58B"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eastAsia="Source Serif Pro" w:cs="Source Serif Pro"/>
              </w:rPr>
            </w:pPr>
            <w:r w:rsidRPr="007A4A89">
              <w:rPr>
                <w:rFonts w:eastAsia="Source Serif Pro" w:cs="Source Serif Pro"/>
              </w:rPr>
              <w:t>Although position is not identical, need for a high standard of dependability as a professional is the same.</w:t>
            </w:r>
          </w:p>
        </w:tc>
      </w:tr>
      <w:tr w:rsidR="00EA1EA7" w:rsidRPr="00804F31" w14:paraId="3DCE6D79" w14:textId="77777777" w:rsidTr="2AEFA46C">
        <w:trPr>
          <w:trHeight w:val="300"/>
        </w:trPr>
        <w:tc>
          <w:tcPr>
            <w:tcW w:w="1935" w:type="dxa"/>
            <w:tcBorders>
              <w:top w:val="single" w:sz="6" w:space="0" w:color="auto"/>
              <w:left w:val="single" w:sz="6" w:space="0" w:color="auto"/>
              <w:bottom w:val="single" w:sz="6" w:space="0" w:color="auto"/>
              <w:right w:val="single" w:sz="6" w:space="0" w:color="auto"/>
            </w:tcBorders>
            <w:tcMar>
              <w:left w:w="105" w:type="dxa"/>
              <w:right w:w="105" w:type="dxa"/>
            </w:tcMar>
          </w:tcPr>
          <w:p w14:paraId="4AC0E9F3"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eastAsia="Source Serif Pro" w:cs="Source Serif Pro"/>
              </w:rPr>
            </w:pPr>
            <w:r w:rsidRPr="007A4A89">
              <w:rPr>
                <w:rFonts w:eastAsia="Source Serif Pro" w:cs="Source Serif Pro"/>
              </w:rPr>
              <w:t>Criminal Investigator</w:t>
            </w:r>
          </w:p>
        </w:tc>
        <w:tc>
          <w:tcPr>
            <w:tcW w:w="3180" w:type="dxa"/>
            <w:tcBorders>
              <w:top w:val="single" w:sz="6" w:space="0" w:color="auto"/>
              <w:left w:val="single" w:sz="6" w:space="0" w:color="auto"/>
              <w:bottom w:val="single" w:sz="6" w:space="0" w:color="auto"/>
              <w:right w:val="single" w:sz="6" w:space="0" w:color="auto"/>
            </w:tcBorders>
            <w:tcMar>
              <w:left w:w="105" w:type="dxa"/>
              <w:right w:w="105" w:type="dxa"/>
            </w:tcMar>
          </w:tcPr>
          <w:p w14:paraId="65DBE658"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eastAsia="Source Serif Pro" w:cs="Source Serif Pro"/>
              </w:rPr>
            </w:pPr>
            <w:r w:rsidRPr="007A4A89">
              <w:rPr>
                <w:rFonts w:eastAsia="Source Serif Pro" w:cs="Source Serif Pro"/>
              </w:rPr>
              <w:t>DWI conviction</w:t>
            </w:r>
          </w:p>
        </w:tc>
        <w:tc>
          <w:tcPr>
            <w:tcW w:w="4140" w:type="dxa"/>
            <w:tcBorders>
              <w:top w:val="single" w:sz="6" w:space="0" w:color="auto"/>
              <w:left w:val="single" w:sz="6" w:space="0" w:color="auto"/>
              <w:bottom w:val="single" w:sz="6" w:space="0" w:color="auto"/>
              <w:right w:val="single" w:sz="6" w:space="0" w:color="auto"/>
            </w:tcBorders>
            <w:tcMar>
              <w:left w:w="105" w:type="dxa"/>
              <w:right w:w="105" w:type="dxa"/>
            </w:tcMar>
          </w:tcPr>
          <w:p w14:paraId="40209A5B"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eastAsia="Source Serif Pro" w:cs="Source Serif Pro"/>
              </w:rPr>
            </w:pPr>
            <w:r w:rsidRPr="007A4A89">
              <w:rPr>
                <w:rFonts w:eastAsia="Source Serif Pro" w:cs="Source Serif Pro"/>
              </w:rPr>
              <w:t>Personal disregard for the law could affect an official decision when the position is in law enforcement.</w:t>
            </w:r>
          </w:p>
        </w:tc>
      </w:tr>
      <w:tr w:rsidR="00EA1EA7" w:rsidRPr="00804F31" w14:paraId="064B6677" w14:textId="77777777" w:rsidTr="2AEFA46C">
        <w:trPr>
          <w:trHeight w:val="300"/>
        </w:trPr>
        <w:tc>
          <w:tcPr>
            <w:tcW w:w="1935" w:type="dxa"/>
            <w:tcBorders>
              <w:top w:val="single" w:sz="6" w:space="0" w:color="auto"/>
              <w:left w:val="single" w:sz="6" w:space="0" w:color="auto"/>
              <w:bottom w:val="single" w:sz="6" w:space="0" w:color="auto"/>
              <w:right w:val="single" w:sz="6" w:space="0" w:color="auto"/>
            </w:tcBorders>
            <w:tcMar>
              <w:left w:w="105" w:type="dxa"/>
              <w:right w:w="105" w:type="dxa"/>
            </w:tcMar>
          </w:tcPr>
          <w:p w14:paraId="334AA1AF"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eastAsia="Source Serif Pro" w:cs="Source Serif Pro"/>
              </w:rPr>
            </w:pPr>
            <w:r w:rsidRPr="007A4A89">
              <w:rPr>
                <w:rFonts w:eastAsia="Source Serif Pro" w:cs="Source Serif Pro"/>
              </w:rPr>
              <w:t>Driver</w:t>
            </w:r>
          </w:p>
        </w:tc>
        <w:tc>
          <w:tcPr>
            <w:tcW w:w="3180" w:type="dxa"/>
            <w:tcBorders>
              <w:top w:val="single" w:sz="6" w:space="0" w:color="auto"/>
              <w:left w:val="single" w:sz="6" w:space="0" w:color="auto"/>
              <w:bottom w:val="single" w:sz="6" w:space="0" w:color="auto"/>
              <w:right w:val="single" w:sz="6" w:space="0" w:color="auto"/>
            </w:tcBorders>
            <w:tcMar>
              <w:left w:w="105" w:type="dxa"/>
              <w:right w:w="105" w:type="dxa"/>
            </w:tcMar>
          </w:tcPr>
          <w:p w14:paraId="51299189"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eastAsia="Source Serif Pro" w:cs="Source Serif Pro"/>
              </w:rPr>
            </w:pPr>
            <w:r w:rsidRPr="007A4A89">
              <w:rPr>
                <w:rFonts w:eastAsia="Source Serif Pro" w:cs="Source Serif Pro"/>
              </w:rPr>
              <w:t>Reckless Driving/Speeding</w:t>
            </w:r>
          </w:p>
        </w:tc>
        <w:tc>
          <w:tcPr>
            <w:tcW w:w="4140" w:type="dxa"/>
            <w:tcBorders>
              <w:top w:val="single" w:sz="6" w:space="0" w:color="auto"/>
              <w:left w:val="single" w:sz="6" w:space="0" w:color="auto"/>
              <w:bottom w:val="single" w:sz="6" w:space="0" w:color="auto"/>
              <w:right w:val="single" w:sz="6" w:space="0" w:color="auto"/>
            </w:tcBorders>
            <w:tcMar>
              <w:left w:w="105" w:type="dxa"/>
              <w:right w:w="105" w:type="dxa"/>
            </w:tcMar>
          </w:tcPr>
          <w:p w14:paraId="42C1223D"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eastAsia="Source Serif Pro" w:cs="Source Serif Pro"/>
              </w:rPr>
            </w:pPr>
            <w:r w:rsidRPr="007A4A89">
              <w:rPr>
                <w:rFonts w:eastAsia="Source Serif Pro" w:cs="Source Serif Pro"/>
              </w:rPr>
              <w:t>Potential impact on safety.</w:t>
            </w:r>
          </w:p>
        </w:tc>
      </w:tr>
      <w:tr w:rsidR="00EA1EA7" w:rsidRPr="00804F31" w14:paraId="138184EB" w14:textId="77777777" w:rsidTr="2AEFA46C">
        <w:trPr>
          <w:trHeight w:val="300"/>
        </w:trPr>
        <w:tc>
          <w:tcPr>
            <w:tcW w:w="1935" w:type="dxa"/>
            <w:tcBorders>
              <w:top w:val="single" w:sz="6" w:space="0" w:color="auto"/>
              <w:left w:val="single" w:sz="6" w:space="0" w:color="auto"/>
              <w:bottom w:val="single" w:sz="6" w:space="0" w:color="auto"/>
              <w:right w:val="single" w:sz="6" w:space="0" w:color="auto"/>
            </w:tcBorders>
            <w:tcMar>
              <w:left w:w="105" w:type="dxa"/>
              <w:right w:w="105" w:type="dxa"/>
            </w:tcMar>
          </w:tcPr>
          <w:p w14:paraId="15A690B7"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eastAsia="Source Serif Pro" w:cs="Source Serif Pro"/>
              </w:rPr>
            </w:pPr>
            <w:r w:rsidRPr="007A4A89">
              <w:rPr>
                <w:rFonts w:eastAsia="Source Serif Pro" w:cs="Source Serif Pro"/>
              </w:rPr>
              <w:t>Supervisor</w:t>
            </w:r>
          </w:p>
        </w:tc>
        <w:tc>
          <w:tcPr>
            <w:tcW w:w="3180" w:type="dxa"/>
            <w:tcBorders>
              <w:top w:val="single" w:sz="6" w:space="0" w:color="auto"/>
              <w:left w:val="single" w:sz="6" w:space="0" w:color="auto"/>
              <w:bottom w:val="single" w:sz="6" w:space="0" w:color="auto"/>
              <w:right w:val="single" w:sz="6" w:space="0" w:color="auto"/>
            </w:tcBorders>
            <w:tcMar>
              <w:left w:w="105" w:type="dxa"/>
              <w:right w:w="105" w:type="dxa"/>
            </w:tcMar>
          </w:tcPr>
          <w:p w14:paraId="320A79C6"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eastAsia="Source Serif Pro" w:cs="Source Serif Pro"/>
              </w:rPr>
            </w:pPr>
            <w:r w:rsidRPr="007A4A89">
              <w:rPr>
                <w:rFonts w:eastAsia="Source Serif Pro" w:cs="Source Serif Pro"/>
              </w:rPr>
              <w:t>Resigned in lieu of discharge while under investigation for allegations of Sexual Harassment</w:t>
            </w:r>
          </w:p>
        </w:tc>
        <w:tc>
          <w:tcPr>
            <w:tcW w:w="4140" w:type="dxa"/>
            <w:tcBorders>
              <w:top w:val="single" w:sz="6" w:space="0" w:color="auto"/>
              <w:left w:val="single" w:sz="6" w:space="0" w:color="auto"/>
              <w:bottom w:val="single" w:sz="6" w:space="0" w:color="auto"/>
              <w:right w:val="single" w:sz="6" w:space="0" w:color="auto"/>
            </w:tcBorders>
            <w:tcMar>
              <w:left w:w="105" w:type="dxa"/>
              <w:right w:w="105" w:type="dxa"/>
            </w:tcMar>
          </w:tcPr>
          <w:p w14:paraId="56EE6ABC"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eastAsia="Source Serif Pro" w:cs="Source Serif Pro"/>
              </w:rPr>
            </w:pPr>
            <w:r w:rsidRPr="007A4A89">
              <w:rPr>
                <w:rFonts w:eastAsia="Source Serif Pro" w:cs="Source Serif Pro"/>
              </w:rPr>
              <w:t>Supervisory duties include potential for influence over others.</w:t>
            </w:r>
          </w:p>
        </w:tc>
      </w:tr>
      <w:tr w:rsidR="00EA1EA7" w:rsidRPr="00804F31" w14:paraId="6BBC1B26" w14:textId="77777777" w:rsidTr="2AEFA46C">
        <w:trPr>
          <w:trHeight w:val="300"/>
        </w:trPr>
        <w:tc>
          <w:tcPr>
            <w:tcW w:w="1935" w:type="dxa"/>
            <w:tcBorders>
              <w:top w:val="single" w:sz="6" w:space="0" w:color="auto"/>
              <w:left w:val="single" w:sz="6" w:space="0" w:color="auto"/>
              <w:bottom w:val="single" w:sz="6" w:space="0" w:color="auto"/>
              <w:right w:val="single" w:sz="6" w:space="0" w:color="auto"/>
            </w:tcBorders>
            <w:tcMar>
              <w:left w:w="105" w:type="dxa"/>
              <w:right w:w="105" w:type="dxa"/>
            </w:tcMar>
          </w:tcPr>
          <w:p w14:paraId="6AD4DDF2"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contextualSpacing/>
              <w:rPr>
                <w:rFonts w:eastAsia="Source Serif Pro" w:cs="Source Serif Pro"/>
              </w:rPr>
            </w:pPr>
            <w:r w:rsidRPr="007A4A89">
              <w:rPr>
                <w:rFonts w:eastAsia="Source Serif Pro" w:cs="Source Serif Pro"/>
              </w:rPr>
              <w:t>Store Worker</w:t>
            </w:r>
          </w:p>
        </w:tc>
        <w:tc>
          <w:tcPr>
            <w:tcW w:w="3180" w:type="dxa"/>
            <w:tcBorders>
              <w:top w:val="single" w:sz="6" w:space="0" w:color="auto"/>
              <w:left w:val="single" w:sz="6" w:space="0" w:color="auto"/>
              <w:bottom w:val="single" w:sz="6" w:space="0" w:color="auto"/>
              <w:right w:val="single" w:sz="6" w:space="0" w:color="auto"/>
            </w:tcBorders>
            <w:tcMar>
              <w:left w:w="105" w:type="dxa"/>
              <w:right w:w="105" w:type="dxa"/>
            </w:tcMar>
          </w:tcPr>
          <w:p w14:paraId="03537E0F"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contextualSpacing/>
              <w:rPr>
                <w:rFonts w:eastAsia="Source Serif Pro" w:cs="Source Serif Pro"/>
              </w:rPr>
            </w:pPr>
            <w:r w:rsidRPr="007A4A89">
              <w:rPr>
                <w:rFonts w:eastAsia="Source Serif Pro" w:cs="Source Serif Pro"/>
              </w:rPr>
              <w:t>Shoplifting</w:t>
            </w:r>
          </w:p>
        </w:tc>
        <w:tc>
          <w:tcPr>
            <w:tcW w:w="4140" w:type="dxa"/>
            <w:tcBorders>
              <w:top w:val="single" w:sz="6" w:space="0" w:color="auto"/>
              <w:left w:val="single" w:sz="6" w:space="0" w:color="auto"/>
              <w:bottom w:val="single" w:sz="6" w:space="0" w:color="auto"/>
              <w:right w:val="single" w:sz="6" w:space="0" w:color="auto"/>
            </w:tcBorders>
            <w:tcMar>
              <w:left w:w="105" w:type="dxa"/>
              <w:right w:w="105" w:type="dxa"/>
            </w:tcMar>
          </w:tcPr>
          <w:p w14:paraId="3517C3B7" w14:textId="135F3AB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contextualSpacing/>
              <w:rPr>
                <w:rFonts w:eastAsia="Source Serif Pro" w:cs="Source Serif Pro"/>
              </w:rPr>
            </w:pPr>
            <w:r w:rsidRPr="2AEFA46C">
              <w:rPr>
                <w:rFonts w:eastAsia="Source Serif Pro" w:cs="Source Serif Pro"/>
              </w:rPr>
              <w:t xml:space="preserve">Access to goods and money could be a concern if the person had any evidence of dishonesty in </w:t>
            </w:r>
            <w:r w:rsidR="73BE8CC9" w:rsidRPr="2AEFA46C">
              <w:rPr>
                <w:rFonts w:eastAsia="Source Serif Pro" w:cs="Source Serif Pro"/>
              </w:rPr>
              <w:t xml:space="preserve">their </w:t>
            </w:r>
            <w:r w:rsidRPr="2AEFA46C">
              <w:rPr>
                <w:rFonts w:eastAsia="Source Serif Pro" w:cs="Source Serif Pro"/>
              </w:rPr>
              <w:t>background.</w:t>
            </w:r>
          </w:p>
        </w:tc>
      </w:tr>
      <w:tr w:rsidR="00EA1EA7" w:rsidRPr="00804F31" w14:paraId="7C400530" w14:textId="77777777" w:rsidTr="2AEFA46C">
        <w:trPr>
          <w:trHeight w:val="300"/>
        </w:trPr>
        <w:tc>
          <w:tcPr>
            <w:tcW w:w="1935" w:type="dxa"/>
            <w:tcBorders>
              <w:top w:val="single" w:sz="6" w:space="0" w:color="auto"/>
              <w:left w:val="single" w:sz="6" w:space="0" w:color="auto"/>
              <w:bottom w:val="single" w:sz="6" w:space="0" w:color="auto"/>
              <w:right w:val="single" w:sz="6" w:space="0" w:color="auto"/>
            </w:tcBorders>
            <w:tcMar>
              <w:left w:w="105" w:type="dxa"/>
              <w:right w:w="105" w:type="dxa"/>
            </w:tcMar>
          </w:tcPr>
          <w:p w14:paraId="2A6A5F37"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eastAsia="Source Serif Pro" w:cs="Source Serif Pro"/>
              </w:rPr>
            </w:pPr>
            <w:r w:rsidRPr="007A4A89">
              <w:rPr>
                <w:rFonts w:eastAsia="Source Serif Pro" w:cs="Source Serif Pro"/>
              </w:rPr>
              <w:t>Mid-level manager</w:t>
            </w:r>
          </w:p>
        </w:tc>
        <w:tc>
          <w:tcPr>
            <w:tcW w:w="3180" w:type="dxa"/>
            <w:tcBorders>
              <w:top w:val="single" w:sz="6" w:space="0" w:color="auto"/>
              <w:left w:val="single" w:sz="6" w:space="0" w:color="auto"/>
              <w:bottom w:val="single" w:sz="6" w:space="0" w:color="auto"/>
              <w:right w:val="single" w:sz="6" w:space="0" w:color="auto"/>
            </w:tcBorders>
            <w:tcMar>
              <w:left w:w="105" w:type="dxa"/>
              <w:right w:w="105" w:type="dxa"/>
            </w:tcMar>
          </w:tcPr>
          <w:p w14:paraId="4DD395B9"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eastAsia="Source Serif Pro" w:cs="Source Serif Pro"/>
              </w:rPr>
            </w:pPr>
            <w:r w:rsidRPr="007A4A89">
              <w:rPr>
                <w:rFonts w:eastAsia="Source Serif Pro" w:cs="Source Serif Pro"/>
              </w:rPr>
              <w:t xml:space="preserve">Claims degree in Business Administration from a diploma mill </w:t>
            </w:r>
          </w:p>
        </w:tc>
        <w:tc>
          <w:tcPr>
            <w:tcW w:w="4140" w:type="dxa"/>
            <w:tcBorders>
              <w:top w:val="single" w:sz="6" w:space="0" w:color="auto"/>
              <w:left w:val="single" w:sz="6" w:space="0" w:color="auto"/>
              <w:bottom w:val="single" w:sz="6" w:space="0" w:color="auto"/>
              <w:right w:val="single" w:sz="6" w:space="0" w:color="auto"/>
            </w:tcBorders>
            <w:tcMar>
              <w:left w:w="105" w:type="dxa"/>
              <w:right w:w="105" w:type="dxa"/>
            </w:tcMar>
          </w:tcPr>
          <w:p w14:paraId="4923C4C1" w14:textId="77777777" w:rsidR="00EA1EA7" w:rsidRPr="007A4A89" w:rsidRDefault="00EA1EA7" w:rsidP="007A4A89">
            <w:pPr>
              <w:widowControl w:val="0"/>
              <w:spacing w:after="0"/>
              <w:rPr>
                <w:rFonts w:eastAsia="Source Serif Pro" w:cs="Source Serif Pro"/>
              </w:rPr>
            </w:pPr>
            <w:r w:rsidRPr="007A4A89">
              <w:rPr>
                <w:rFonts w:eastAsia="Source Serif Pro" w:cs="Source Serif Pro"/>
              </w:rPr>
              <w:t>Whether or not the degree was a requirement for the position, it is reasonable to conclude someone with a degree would likely be given more consideration for the position than a candidate without a degree.</w:t>
            </w:r>
          </w:p>
        </w:tc>
      </w:tr>
    </w:tbl>
    <w:p w14:paraId="3F1403EA" w14:textId="2D6BEE23" w:rsidR="00EA1EA7" w:rsidRPr="00804F31" w:rsidRDefault="00EA1EA7" w:rsidP="00ED7EBE">
      <w:pPr>
        <w:pStyle w:val="Heading5"/>
      </w:pPr>
      <w:r w:rsidRPr="00804F31">
        <w:lastRenderedPageBreak/>
        <w:t>Agency Mission Falsification Examples</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35"/>
        <w:gridCol w:w="3180"/>
        <w:gridCol w:w="4140"/>
      </w:tblGrid>
      <w:tr w:rsidR="00EA1EA7" w:rsidRPr="00804F31" w14:paraId="23EE7F9B" w14:textId="77777777">
        <w:trPr>
          <w:trHeight w:val="300"/>
        </w:trPr>
        <w:tc>
          <w:tcPr>
            <w:tcW w:w="1935" w:type="dxa"/>
            <w:tcBorders>
              <w:top w:val="single" w:sz="6" w:space="0" w:color="auto"/>
              <w:left w:val="single" w:sz="6" w:space="0" w:color="auto"/>
              <w:bottom w:val="single" w:sz="6" w:space="0" w:color="auto"/>
              <w:right w:val="single" w:sz="6" w:space="0" w:color="auto"/>
            </w:tcBorders>
            <w:tcMar>
              <w:left w:w="105" w:type="dxa"/>
              <w:right w:w="105" w:type="dxa"/>
            </w:tcMar>
          </w:tcPr>
          <w:p w14:paraId="7DE6FD0C" w14:textId="77777777" w:rsidR="00EA1EA7" w:rsidRPr="007A4A89" w:rsidRDefault="00EA1EA7" w:rsidP="007A4A89">
            <w:pPr>
              <w:widowControl w:val="0"/>
              <w:spacing w:after="0"/>
              <w:jc w:val="center"/>
              <w:rPr>
                <w:rFonts w:eastAsia="Source Serif Pro" w:cs="Source Serif Pro"/>
              </w:rPr>
            </w:pPr>
            <w:r w:rsidRPr="007A4A89">
              <w:rPr>
                <w:rFonts w:eastAsia="Source Serif Pro" w:cs="Source Serif Pro"/>
                <w:b/>
              </w:rPr>
              <w:t>Position</w:t>
            </w:r>
          </w:p>
        </w:tc>
        <w:tc>
          <w:tcPr>
            <w:tcW w:w="3180" w:type="dxa"/>
            <w:tcBorders>
              <w:top w:val="single" w:sz="6" w:space="0" w:color="auto"/>
              <w:left w:val="single" w:sz="6" w:space="0" w:color="auto"/>
              <w:bottom w:val="single" w:sz="6" w:space="0" w:color="auto"/>
              <w:right w:val="single" w:sz="6" w:space="0" w:color="auto"/>
            </w:tcBorders>
            <w:tcMar>
              <w:left w:w="105" w:type="dxa"/>
              <w:right w:w="105" w:type="dxa"/>
            </w:tcMar>
          </w:tcPr>
          <w:p w14:paraId="2186BBC8"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eastAsia="Source Serif Pro" w:cs="Source Serif Pro"/>
              </w:rPr>
            </w:pPr>
            <w:r w:rsidRPr="007A4A89">
              <w:rPr>
                <w:rFonts w:eastAsia="Source Serif Pro" w:cs="Source Serif Pro"/>
                <w:b/>
              </w:rPr>
              <w:t>Unadmitted Information</w:t>
            </w:r>
          </w:p>
        </w:tc>
        <w:tc>
          <w:tcPr>
            <w:tcW w:w="4140" w:type="dxa"/>
            <w:tcBorders>
              <w:top w:val="single" w:sz="6" w:space="0" w:color="auto"/>
              <w:left w:val="single" w:sz="6" w:space="0" w:color="auto"/>
              <w:bottom w:val="single" w:sz="6" w:space="0" w:color="auto"/>
              <w:right w:val="single" w:sz="6" w:space="0" w:color="auto"/>
            </w:tcBorders>
            <w:tcMar>
              <w:left w:w="105" w:type="dxa"/>
              <w:right w:w="105" w:type="dxa"/>
            </w:tcMar>
          </w:tcPr>
          <w:p w14:paraId="48DEBC66"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eastAsia="Source Serif Pro" w:cs="Source Serif Pro"/>
              </w:rPr>
            </w:pPr>
            <w:r w:rsidRPr="007A4A89">
              <w:rPr>
                <w:rFonts w:eastAsia="Source Serif Pro" w:cs="Source Serif Pro"/>
                <w:b/>
              </w:rPr>
              <w:t>Discussion</w:t>
            </w:r>
          </w:p>
        </w:tc>
      </w:tr>
      <w:tr w:rsidR="00EA1EA7" w:rsidRPr="00804F31" w14:paraId="71D695F0" w14:textId="77777777">
        <w:trPr>
          <w:trHeight w:val="300"/>
        </w:trPr>
        <w:tc>
          <w:tcPr>
            <w:tcW w:w="1935" w:type="dxa"/>
            <w:tcBorders>
              <w:top w:val="single" w:sz="6" w:space="0" w:color="auto"/>
              <w:left w:val="single" w:sz="6" w:space="0" w:color="auto"/>
              <w:bottom w:val="single" w:sz="6" w:space="0" w:color="auto"/>
              <w:right w:val="single" w:sz="6" w:space="0" w:color="auto"/>
            </w:tcBorders>
            <w:tcMar>
              <w:left w:w="105" w:type="dxa"/>
              <w:right w:w="105" w:type="dxa"/>
            </w:tcMar>
          </w:tcPr>
          <w:p w14:paraId="0FA21C07"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eastAsia="Source Serif Pro" w:cs="Source Serif Pro"/>
              </w:rPr>
            </w:pPr>
            <w:r w:rsidRPr="007A4A89">
              <w:rPr>
                <w:rFonts w:eastAsia="Source Serif Pro" w:cs="Source Serif Pro"/>
              </w:rPr>
              <w:t>IRS positions</w:t>
            </w:r>
          </w:p>
        </w:tc>
        <w:tc>
          <w:tcPr>
            <w:tcW w:w="3180" w:type="dxa"/>
            <w:tcBorders>
              <w:top w:val="single" w:sz="6" w:space="0" w:color="auto"/>
              <w:left w:val="single" w:sz="6" w:space="0" w:color="auto"/>
              <w:bottom w:val="single" w:sz="6" w:space="0" w:color="auto"/>
              <w:right w:val="single" w:sz="6" w:space="0" w:color="auto"/>
            </w:tcBorders>
            <w:tcMar>
              <w:left w:w="105" w:type="dxa"/>
              <w:right w:w="105" w:type="dxa"/>
            </w:tcMar>
          </w:tcPr>
          <w:p w14:paraId="5919ED4B"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eastAsia="Source Serif Pro" w:cs="Source Serif Pro"/>
              </w:rPr>
            </w:pPr>
            <w:r w:rsidRPr="007A4A89">
              <w:rPr>
                <w:rFonts w:eastAsia="Source Serif Pro" w:cs="Source Serif Pro"/>
              </w:rPr>
              <w:t>Theft conviction</w:t>
            </w:r>
          </w:p>
        </w:tc>
        <w:tc>
          <w:tcPr>
            <w:tcW w:w="4140" w:type="dxa"/>
            <w:tcBorders>
              <w:top w:val="single" w:sz="6" w:space="0" w:color="auto"/>
              <w:left w:val="single" w:sz="6" w:space="0" w:color="auto"/>
              <w:bottom w:val="single" w:sz="6" w:space="0" w:color="auto"/>
              <w:right w:val="single" w:sz="6" w:space="0" w:color="auto"/>
            </w:tcBorders>
            <w:tcMar>
              <w:left w:w="105" w:type="dxa"/>
              <w:right w:w="105" w:type="dxa"/>
            </w:tcMar>
          </w:tcPr>
          <w:p w14:paraId="52B12B4A" w14:textId="77777777" w:rsidR="00EA1EA7" w:rsidRPr="007A4A89" w:rsidRDefault="00EA1EA7" w:rsidP="007A4A89">
            <w:pPr>
              <w:widowControl w:val="0"/>
              <w:spacing w:after="0"/>
              <w:rPr>
                <w:rFonts w:eastAsia="Source Serif Pro" w:cs="Source Serif Pro"/>
              </w:rPr>
            </w:pPr>
            <w:r w:rsidRPr="007A4A89">
              <w:rPr>
                <w:rFonts w:eastAsia="Source Serif Pro" w:cs="Source Serif Pro"/>
              </w:rPr>
              <w:t>Mission is to uphold the taxpayers’ confidence in the agency. Honesty is of paramount importance.</w:t>
            </w:r>
          </w:p>
        </w:tc>
      </w:tr>
      <w:tr w:rsidR="00EA1EA7" w:rsidRPr="00804F31" w14:paraId="4EC66104" w14:textId="77777777">
        <w:trPr>
          <w:trHeight w:val="300"/>
        </w:trPr>
        <w:tc>
          <w:tcPr>
            <w:tcW w:w="1935" w:type="dxa"/>
            <w:tcBorders>
              <w:top w:val="single" w:sz="6" w:space="0" w:color="auto"/>
              <w:left w:val="single" w:sz="6" w:space="0" w:color="auto"/>
              <w:bottom w:val="single" w:sz="6" w:space="0" w:color="auto"/>
              <w:right w:val="single" w:sz="6" w:space="0" w:color="auto"/>
            </w:tcBorders>
            <w:tcMar>
              <w:left w:w="105" w:type="dxa"/>
              <w:right w:w="105" w:type="dxa"/>
            </w:tcMar>
          </w:tcPr>
          <w:p w14:paraId="77BCE0B5"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eastAsia="Source Serif Pro" w:cs="Source Serif Pro"/>
              </w:rPr>
            </w:pPr>
            <w:r w:rsidRPr="007A4A89">
              <w:rPr>
                <w:rFonts w:eastAsia="Source Serif Pro" w:cs="Source Serif Pro"/>
              </w:rPr>
              <w:t>Cook for a correctional facility</w:t>
            </w:r>
          </w:p>
        </w:tc>
        <w:tc>
          <w:tcPr>
            <w:tcW w:w="3180" w:type="dxa"/>
            <w:tcBorders>
              <w:top w:val="single" w:sz="6" w:space="0" w:color="auto"/>
              <w:left w:val="single" w:sz="6" w:space="0" w:color="auto"/>
              <w:bottom w:val="single" w:sz="6" w:space="0" w:color="auto"/>
              <w:right w:val="single" w:sz="6" w:space="0" w:color="auto"/>
            </w:tcBorders>
            <w:tcMar>
              <w:left w:w="105" w:type="dxa"/>
              <w:right w:w="105" w:type="dxa"/>
            </w:tcMar>
          </w:tcPr>
          <w:p w14:paraId="24058581"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eastAsia="Source Serif Pro" w:cs="Source Serif Pro"/>
              </w:rPr>
            </w:pPr>
            <w:r w:rsidRPr="007A4A89">
              <w:rPr>
                <w:rFonts w:eastAsia="Source Serif Pro" w:cs="Source Serif Pro"/>
              </w:rPr>
              <w:t>Assault with a Deadly Weapon (Firearms)</w:t>
            </w:r>
          </w:p>
        </w:tc>
        <w:tc>
          <w:tcPr>
            <w:tcW w:w="4140" w:type="dxa"/>
            <w:tcBorders>
              <w:top w:val="single" w:sz="6" w:space="0" w:color="auto"/>
              <w:left w:val="single" w:sz="6" w:space="0" w:color="auto"/>
              <w:bottom w:val="single" w:sz="6" w:space="0" w:color="auto"/>
              <w:right w:val="single" w:sz="6" w:space="0" w:color="auto"/>
            </w:tcBorders>
            <w:tcMar>
              <w:left w:w="105" w:type="dxa"/>
              <w:right w:w="105" w:type="dxa"/>
            </w:tcMar>
          </w:tcPr>
          <w:p w14:paraId="02DF622F" w14:textId="77777777" w:rsidR="00EA1EA7" w:rsidRPr="007A4A89" w:rsidRDefault="00EA1EA7" w:rsidP="007A4A89">
            <w:pPr>
              <w:widowControl w:val="0"/>
              <w:spacing w:after="0"/>
              <w:rPr>
                <w:rFonts w:eastAsia="Source Serif Pro" w:cs="Source Serif Pro"/>
              </w:rPr>
            </w:pPr>
            <w:r w:rsidRPr="007A4A89">
              <w:rPr>
                <w:rFonts w:eastAsia="Source Serif Pro" w:cs="Source Serif Pro"/>
              </w:rPr>
              <w:t>Correctional facilities are responsible for overseeing and protecting the inmate population. All positions within the facilities must be able to carry firearms and be responsible in their use.</w:t>
            </w:r>
          </w:p>
        </w:tc>
      </w:tr>
    </w:tbl>
    <w:p w14:paraId="2B84BC49" w14:textId="31F29DE8" w:rsidR="00EA1EA7" w:rsidRPr="00804F31" w:rsidRDefault="00EA1EA7" w:rsidP="00ED7EBE">
      <w:pPr>
        <w:pStyle w:val="Heading5"/>
      </w:pPr>
      <w:r w:rsidRPr="00804F31">
        <w:t>Public Trust Falsification Examples</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35"/>
        <w:gridCol w:w="3180"/>
        <w:gridCol w:w="4140"/>
      </w:tblGrid>
      <w:tr w:rsidR="00EA1EA7" w:rsidRPr="00804F31" w14:paraId="5A813237" w14:textId="77777777">
        <w:trPr>
          <w:trHeight w:val="300"/>
        </w:trPr>
        <w:tc>
          <w:tcPr>
            <w:tcW w:w="1935" w:type="dxa"/>
            <w:tcBorders>
              <w:top w:val="single" w:sz="6" w:space="0" w:color="auto"/>
              <w:left w:val="single" w:sz="6" w:space="0" w:color="auto"/>
              <w:bottom w:val="single" w:sz="6" w:space="0" w:color="auto"/>
              <w:right w:val="single" w:sz="6" w:space="0" w:color="auto"/>
            </w:tcBorders>
            <w:tcMar>
              <w:left w:w="105" w:type="dxa"/>
              <w:right w:w="105" w:type="dxa"/>
            </w:tcMar>
          </w:tcPr>
          <w:p w14:paraId="1E38013B" w14:textId="77777777" w:rsidR="00EA1EA7" w:rsidRPr="007A4A89" w:rsidRDefault="00EA1EA7" w:rsidP="007A4A89">
            <w:pPr>
              <w:widowControl w:val="0"/>
              <w:spacing w:after="0"/>
              <w:jc w:val="center"/>
              <w:rPr>
                <w:rFonts w:eastAsia="Source Serif Pro" w:cs="Source Serif Pro"/>
              </w:rPr>
            </w:pPr>
            <w:r w:rsidRPr="007A4A89">
              <w:rPr>
                <w:rFonts w:eastAsia="Source Serif Pro" w:cs="Source Serif Pro"/>
                <w:b/>
              </w:rPr>
              <w:t>Position</w:t>
            </w:r>
          </w:p>
        </w:tc>
        <w:tc>
          <w:tcPr>
            <w:tcW w:w="3180" w:type="dxa"/>
            <w:tcBorders>
              <w:top w:val="single" w:sz="6" w:space="0" w:color="auto"/>
              <w:left w:val="single" w:sz="6" w:space="0" w:color="auto"/>
              <w:bottom w:val="single" w:sz="6" w:space="0" w:color="auto"/>
              <w:right w:val="single" w:sz="6" w:space="0" w:color="auto"/>
            </w:tcBorders>
            <w:tcMar>
              <w:left w:w="105" w:type="dxa"/>
              <w:right w:w="105" w:type="dxa"/>
            </w:tcMar>
          </w:tcPr>
          <w:p w14:paraId="6593FD90" w14:textId="77777777" w:rsidR="00EA1EA7" w:rsidRPr="007A4A89" w:rsidRDefault="00EA1EA7" w:rsidP="007A4A89">
            <w:pPr>
              <w:widowControl w:val="0"/>
              <w:spacing w:after="0"/>
              <w:jc w:val="center"/>
              <w:rPr>
                <w:rFonts w:eastAsia="Source Serif Pro" w:cs="Source Serif Pro"/>
              </w:rPr>
            </w:pPr>
            <w:r w:rsidRPr="007A4A89">
              <w:rPr>
                <w:rFonts w:eastAsia="Source Serif Pro" w:cs="Source Serif Pro"/>
                <w:b/>
              </w:rPr>
              <w:t>Unadmitted Information</w:t>
            </w:r>
          </w:p>
        </w:tc>
        <w:tc>
          <w:tcPr>
            <w:tcW w:w="4140" w:type="dxa"/>
            <w:tcBorders>
              <w:top w:val="single" w:sz="6" w:space="0" w:color="auto"/>
              <w:left w:val="single" w:sz="6" w:space="0" w:color="auto"/>
              <w:bottom w:val="single" w:sz="6" w:space="0" w:color="auto"/>
              <w:right w:val="single" w:sz="6" w:space="0" w:color="auto"/>
            </w:tcBorders>
            <w:tcMar>
              <w:left w:w="105" w:type="dxa"/>
              <w:right w:w="105" w:type="dxa"/>
            </w:tcMar>
          </w:tcPr>
          <w:p w14:paraId="797361F0" w14:textId="77777777" w:rsidR="00EA1EA7" w:rsidRPr="007A4A89" w:rsidRDefault="00EA1EA7" w:rsidP="007A4A89">
            <w:pPr>
              <w:widowControl w:val="0"/>
              <w:spacing w:after="0"/>
              <w:jc w:val="center"/>
              <w:rPr>
                <w:rFonts w:eastAsia="Source Serif Pro" w:cs="Source Serif Pro"/>
              </w:rPr>
            </w:pPr>
            <w:r w:rsidRPr="007A4A89">
              <w:rPr>
                <w:rFonts w:eastAsia="Source Serif Pro" w:cs="Source Serif Pro"/>
                <w:b/>
              </w:rPr>
              <w:t>Discussion</w:t>
            </w:r>
          </w:p>
        </w:tc>
      </w:tr>
      <w:tr w:rsidR="00EA1EA7" w:rsidRPr="00804F31" w14:paraId="64C48B0B" w14:textId="77777777">
        <w:trPr>
          <w:trHeight w:val="300"/>
        </w:trPr>
        <w:tc>
          <w:tcPr>
            <w:tcW w:w="1935" w:type="dxa"/>
            <w:tcBorders>
              <w:top w:val="single" w:sz="6" w:space="0" w:color="auto"/>
              <w:left w:val="single" w:sz="6" w:space="0" w:color="auto"/>
              <w:bottom w:val="single" w:sz="6" w:space="0" w:color="auto"/>
              <w:right w:val="single" w:sz="6" w:space="0" w:color="auto"/>
            </w:tcBorders>
            <w:tcMar>
              <w:left w:w="105" w:type="dxa"/>
              <w:right w:w="105" w:type="dxa"/>
            </w:tcMar>
          </w:tcPr>
          <w:p w14:paraId="297055E7" w14:textId="77777777" w:rsidR="00EA1EA7" w:rsidRPr="007A4A89" w:rsidRDefault="00EA1EA7" w:rsidP="007A4A89">
            <w:pPr>
              <w:widowControl w:val="0"/>
              <w:spacing w:after="0"/>
              <w:rPr>
                <w:rFonts w:eastAsia="Source Serif Pro" w:cs="Source Serif Pro"/>
              </w:rPr>
            </w:pPr>
            <w:r w:rsidRPr="007A4A89">
              <w:rPr>
                <w:rFonts w:eastAsia="Source Serif Pro" w:cs="Source Serif Pro"/>
              </w:rPr>
              <w:t>Customer Service Representative (access to Social Security records)</w:t>
            </w:r>
          </w:p>
        </w:tc>
        <w:tc>
          <w:tcPr>
            <w:tcW w:w="3180" w:type="dxa"/>
            <w:tcBorders>
              <w:top w:val="single" w:sz="6" w:space="0" w:color="auto"/>
              <w:left w:val="single" w:sz="6" w:space="0" w:color="auto"/>
              <w:bottom w:val="single" w:sz="6" w:space="0" w:color="auto"/>
              <w:right w:val="single" w:sz="6" w:space="0" w:color="auto"/>
            </w:tcBorders>
            <w:tcMar>
              <w:left w:w="105" w:type="dxa"/>
              <w:right w:w="105" w:type="dxa"/>
            </w:tcMar>
          </w:tcPr>
          <w:p w14:paraId="559C444D" w14:textId="77777777" w:rsidR="00EA1EA7" w:rsidRPr="007A4A89" w:rsidRDefault="00EA1EA7" w:rsidP="007A4A89">
            <w:pPr>
              <w:widowControl w:val="0"/>
              <w:spacing w:after="0"/>
              <w:rPr>
                <w:rFonts w:eastAsia="Source Serif Pro" w:cs="Source Serif Pro"/>
              </w:rPr>
            </w:pPr>
            <w:r w:rsidRPr="007A4A89">
              <w:rPr>
                <w:rFonts w:eastAsia="Source Serif Pro" w:cs="Source Serif Pro"/>
              </w:rPr>
              <w:t>Fired for selling company information to a competitor</w:t>
            </w:r>
          </w:p>
        </w:tc>
        <w:tc>
          <w:tcPr>
            <w:tcW w:w="4140" w:type="dxa"/>
            <w:tcBorders>
              <w:top w:val="single" w:sz="6" w:space="0" w:color="auto"/>
              <w:left w:val="single" w:sz="6" w:space="0" w:color="auto"/>
              <w:bottom w:val="single" w:sz="6" w:space="0" w:color="auto"/>
              <w:right w:val="single" w:sz="6" w:space="0" w:color="auto"/>
            </w:tcBorders>
            <w:tcMar>
              <w:left w:w="105" w:type="dxa"/>
              <w:right w:w="105" w:type="dxa"/>
            </w:tcMar>
          </w:tcPr>
          <w:p w14:paraId="66F51F74" w14:textId="35768935" w:rsidR="00EA1EA7" w:rsidRPr="007A4A89" w:rsidRDefault="00EA1EA7" w:rsidP="007A4A89">
            <w:pPr>
              <w:widowControl w:val="0"/>
              <w:spacing w:after="0"/>
              <w:rPr>
                <w:rFonts w:eastAsia="Source Serif Pro" w:cs="Source Serif Pro"/>
              </w:rPr>
            </w:pPr>
            <w:r w:rsidRPr="007A4A89">
              <w:rPr>
                <w:rFonts w:eastAsia="Source Serif Pro" w:cs="Source Serif Pro"/>
              </w:rPr>
              <w:t xml:space="preserve">Dishonesty presents a risk that </w:t>
            </w:r>
            <w:r w:rsidR="00BB1137">
              <w:rPr>
                <w:rFonts w:eastAsia="Source Serif Pro" w:cs="Source Serif Pro"/>
              </w:rPr>
              <w:t>private or protected</w:t>
            </w:r>
            <w:r w:rsidRPr="007A4A89">
              <w:rPr>
                <w:rFonts w:eastAsia="Source Serif Pro" w:cs="Source Serif Pro"/>
              </w:rPr>
              <w:t xml:space="preserve"> information could potentially be compromised.</w:t>
            </w:r>
          </w:p>
        </w:tc>
      </w:tr>
      <w:tr w:rsidR="00EA1EA7" w:rsidRPr="00804F31" w14:paraId="03DE6907" w14:textId="77777777">
        <w:trPr>
          <w:trHeight w:val="300"/>
        </w:trPr>
        <w:tc>
          <w:tcPr>
            <w:tcW w:w="1935" w:type="dxa"/>
            <w:tcBorders>
              <w:top w:val="single" w:sz="6" w:space="0" w:color="auto"/>
              <w:left w:val="single" w:sz="6" w:space="0" w:color="auto"/>
              <w:bottom w:val="single" w:sz="6" w:space="0" w:color="auto"/>
              <w:right w:val="single" w:sz="6" w:space="0" w:color="auto"/>
            </w:tcBorders>
            <w:tcMar>
              <w:left w:w="105" w:type="dxa"/>
              <w:right w:w="105" w:type="dxa"/>
            </w:tcMar>
          </w:tcPr>
          <w:p w14:paraId="63170008" w14:textId="77777777" w:rsidR="00EA1EA7" w:rsidRPr="007A4A89" w:rsidRDefault="00EA1EA7" w:rsidP="007A4A89">
            <w:pPr>
              <w:widowControl w:val="0"/>
              <w:spacing w:after="0"/>
              <w:rPr>
                <w:rFonts w:eastAsia="Source Serif Pro" w:cs="Source Serif Pro"/>
              </w:rPr>
            </w:pPr>
            <w:r w:rsidRPr="007A4A89">
              <w:rPr>
                <w:rFonts w:eastAsia="Source Serif Pro" w:cs="Source Serif Pro"/>
              </w:rPr>
              <w:t>Computer Specialist</w:t>
            </w:r>
          </w:p>
        </w:tc>
        <w:tc>
          <w:tcPr>
            <w:tcW w:w="3180" w:type="dxa"/>
            <w:tcBorders>
              <w:top w:val="single" w:sz="6" w:space="0" w:color="auto"/>
              <w:left w:val="single" w:sz="6" w:space="0" w:color="auto"/>
              <w:bottom w:val="single" w:sz="6" w:space="0" w:color="auto"/>
              <w:right w:val="single" w:sz="6" w:space="0" w:color="auto"/>
            </w:tcBorders>
            <w:tcMar>
              <w:left w:w="105" w:type="dxa"/>
              <w:right w:w="105" w:type="dxa"/>
            </w:tcMar>
          </w:tcPr>
          <w:p w14:paraId="04692759" w14:textId="77777777" w:rsidR="00EA1EA7" w:rsidRPr="007A4A89" w:rsidRDefault="00EA1EA7" w:rsidP="007A4A89">
            <w:pPr>
              <w:widowControl w:val="0"/>
              <w:spacing w:after="0"/>
              <w:rPr>
                <w:rFonts w:eastAsia="Source Serif Pro" w:cs="Source Serif Pro"/>
              </w:rPr>
            </w:pPr>
            <w:r w:rsidRPr="007A4A89">
              <w:rPr>
                <w:rFonts w:eastAsia="Source Serif Pro" w:cs="Source Serif Pro"/>
              </w:rPr>
              <w:t>Conviction for selling child pornography via the internet</w:t>
            </w:r>
          </w:p>
        </w:tc>
        <w:tc>
          <w:tcPr>
            <w:tcW w:w="4140" w:type="dxa"/>
            <w:tcBorders>
              <w:top w:val="single" w:sz="6" w:space="0" w:color="auto"/>
              <w:left w:val="single" w:sz="6" w:space="0" w:color="auto"/>
              <w:bottom w:val="single" w:sz="6" w:space="0" w:color="auto"/>
              <w:right w:val="single" w:sz="6" w:space="0" w:color="auto"/>
            </w:tcBorders>
            <w:tcMar>
              <w:left w:w="105" w:type="dxa"/>
              <w:right w:w="105" w:type="dxa"/>
            </w:tcMar>
          </w:tcPr>
          <w:p w14:paraId="51173F26" w14:textId="77777777" w:rsidR="00EA1EA7" w:rsidRPr="007A4A89" w:rsidRDefault="00EA1EA7" w:rsidP="007A4A89">
            <w:pPr>
              <w:widowControl w:val="0"/>
              <w:spacing w:after="0"/>
              <w:rPr>
                <w:rFonts w:eastAsia="Source Serif Pro" w:cs="Source Serif Pro"/>
              </w:rPr>
            </w:pPr>
            <w:r w:rsidRPr="007A4A89">
              <w:rPr>
                <w:rFonts w:eastAsia="Source Serif Pro" w:cs="Source Serif Pro"/>
              </w:rPr>
              <w:t>Potential misuse of technology would be a concern.</w:t>
            </w:r>
          </w:p>
        </w:tc>
      </w:tr>
      <w:tr w:rsidR="00EA1EA7" w:rsidRPr="00804F31" w14:paraId="7571EDBA" w14:textId="77777777">
        <w:trPr>
          <w:trHeight w:val="300"/>
        </w:trPr>
        <w:tc>
          <w:tcPr>
            <w:tcW w:w="1935" w:type="dxa"/>
            <w:tcBorders>
              <w:top w:val="single" w:sz="6" w:space="0" w:color="auto"/>
              <w:left w:val="single" w:sz="6" w:space="0" w:color="auto"/>
              <w:bottom w:val="single" w:sz="6" w:space="0" w:color="auto"/>
              <w:right w:val="single" w:sz="6" w:space="0" w:color="auto"/>
            </w:tcBorders>
            <w:tcMar>
              <w:left w:w="105" w:type="dxa"/>
              <w:right w:w="105" w:type="dxa"/>
            </w:tcMar>
          </w:tcPr>
          <w:p w14:paraId="066FEB51" w14:textId="77777777" w:rsidR="00EA1EA7" w:rsidRPr="007A4A89" w:rsidRDefault="00EA1EA7" w:rsidP="007A4A89">
            <w:pPr>
              <w:widowControl w:val="0"/>
              <w:spacing w:after="0"/>
              <w:rPr>
                <w:rFonts w:eastAsia="Source Serif Pro" w:cs="Source Serif Pro"/>
              </w:rPr>
            </w:pPr>
            <w:r w:rsidRPr="007A4A89">
              <w:rPr>
                <w:rFonts w:eastAsia="Source Serif Pro" w:cs="Source Serif Pro"/>
              </w:rPr>
              <w:t>Food Inspector</w:t>
            </w:r>
          </w:p>
        </w:tc>
        <w:tc>
          <w:tcPr>
            <w:tcW w:w="3180" w:type="dxa"/>
            <w:tcBorders>
              <w:top w:val="single" w:sz="6" w:space="0" w:color="auto"/>
              <w:left w:val="single" w:sz="6" w:space="0" w:color="auto"/>
              <w:bottom w:val="single" w:sz="6" w:space="0" w:color="auto"/>
              <w:right w:val="single" w:sz="6" w:space="0" w:color="auto"/>
            </w:tcBorders>
            <w:tcMar>
              <w:left w:w="105" w:type="dxa"/>
              <w:right w:w="105" w:type="dxa"/>
            </w:tcMar>
          </w:tcPr>
          <w:p w14:paraId="0EA337A1" w14:textId="77777777" w:rsidR="00EA1EA7" w:rsidRPr="007A4A89" w:rsidRDefault="00EA1EA7" w:rsidP="007A4A89">
            <w:pPr>
              <w:widowControl w:val="0"/>
              <w:spacing w:after="0"/>
              <w:rPr>
                <w:rFonts w:eastAsia="Source Serif Pro" w:cs="Source Serif Pro"/>
              </w:rPr>
            </w:pPr>
            <w:r w:rsidRPr="007A4A89">
              <w:rPr>
                <w:rFonts w:eastAsia="Source Serif Pro" w:cs="Source Serif Pro"/>
              </w:rPr>
              <w:t>Claims prior experience that is not substantiated</w:t>
            </w:r>
          </w:p>
        </w:tc>
        <w:tc>
          <w:tcPr>
            <w:tcW w:w="4140" w:type="dxa"/>
            <w:tcBorders>
              <w:top w:val="single" w:sz="6" w:space="0" w:color="auto"/>
              <w:left w:val="single" w:sz="6" w:space="0" w:color="auto"/>
              <w:bottom w:val="single" w:sz="6" w:space="0" w:color="auto"/>
              <w:right w:val="single" w:sz="6" w:space="0" w:color="auto"/>
            </w:tcBorders>
            <w:tcMar>
              <w:left w:w="105" w:type="dxa"/>
              <w:right w:w="105" w:type="dxa"/>
            </w:tcMar>
          </w:tcPr>
          <w:p w14:paraId="2699CD9E" w14:textId="77777777" w:rsidR="00EA1EA7" w:rsidRPr="007A4A89" w:rsidRDefault="00EA1EA7" w:rsidP="007A4A89">
            <w:pPr>
              <w:widowControl w:val="0"/>
              <w:spacing w:after="0"/>
              <w:rPr>
                <w:rFonts w:eastAsia="Source Serif Pro" w:cs="Source Serif Pro"/>
              </w:rPr>
            </w:pPr>
            <w:r w:rsidRPr="007A4A89">
              <w:rPr>
                <w:rFonts w:eastAsia="Source Serif Pro" w:cs="Source Serif Pro"/>
              </w:rPr>
              <w:t>Integrity is questionable – risk that food supply could be compromised if individual does not have the experience claimed.</w:t>
            </w:r>
          </w:p>
        </w:tc>
      </w:tr>
    </w:tbl>
    <w:p w14:paraId="2EB9F5C7" w14:textId="76A0D4BA" w:rsidR="00EA1EA7" w:rsidRPr="00804F31" w:rsidRDefault="00EA1EA7" w:rsidP="00ED7EBE">
      <w:pPr>
        <w:pStyle w:val="Heading5"/>
      </w:pPr>
      <w:r w:rsidRPr="00804F31">
        <w:t>Position Sensitivity Falsification Examples</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35"/>
        <w:gridCol w:w="3180"/>
        <w:gridCol w:w="4140"/>
      </w:tblGrid>
      <w:tr w:rsidR="00EA1EA7" w:rsidRPr="00804F31" w14:paraId="1F2ABBCB" w14:textId="77777777">
        <w:trPr>
          <w:trHeight w:val="300"/>
        </w:trPr>
        <w:tc>
          <w:tcPr>
            <w:tcW w:w="1935" w:type="dxa"/>
            <w:tcBorders>
              <w:top w:val="single" w:sz="6" w:space="0" w:color="auto"/>
              <w:left w:val="single" w:sz="6" w:space="0" w:color="auto"/>
              <w:bottom w:val="single" w:sz="6" w:space="0" w:color="auto"/>
              <w:right w:val="single" w:sz="6" w:space="0" w:color="auto"/>
            </w:tcBorders>
            <w:tcMar>
              <w:left w:w="105" w:type="dxa"/>
              <w:right w:w="105" w:type="dxa"/>
            </w:tcMar>
          </w:tcPr>
          <w:p w14:paraId="2F169ADA" w14:textId="77777777" w:rsidR="00EA1EA7" w:rsidRPr="00A016AD" w:rsidRDefault="00EA1EA7" w:rsidP="00A016AD">
            <w:pPr>
              <w:widowControl w:val="0"/>
              <w:spacing w:after="0"/>
              <w:jc w:val="center"/>
              <w:rPr>
                <w:rFonts w:eastAsia="Source Serif Pro" w:cs="Source Serif Pro"/>
              </w:rPr>
            </w:pPr>
            <w:r w:rsidRPr="00A016AD">
              <w:rPr>
                <w:rFonts w:eastAsia="Source Serif Pro" w:cs="Source Serif Pro"/>
                <w:b/>
              </w:rPr>
              <w:t>Position</w:t>
            </w:r>
          </w:p>
        </w:tc>
        <w:tc>
          <w:tcPr>
            <w:tcW w:w="3180" w:type="dxa"/>
            <w:tcBorders>
              <w:top w:val="single" w:sz="6" w:space="0" w:color="auto"/>
              <w:left w:val="single" w:sz="6" w:space="0" w:color="auto"/>
              <w:bottom w:val="single" w:sz="6" w:space="0" w:color="auto"/>
              <w:right w:val="single" w:sz="6" w:space="0" w:color="auto"/>
            </w:tcBorders>
            <w:tcMar>
              <w:left w:w="105" w:type="dxa"/>
              <w:right w:w="105" w:type="dxa"/>
            </w:tcMar>
          </w:tcPr>
          <w:p w14:paraId="113F6295" w14:textId="77777777" w:rsidR="00EA1EA7" w:rsidRPr="00A016AD" w:rsidRDefault="00EA1EA7" w:rsidP="00A016AD">
            <w:pPr>
              <w:widowControl w:val="0"/>
              <w:spacing w:after="0"/>
              <w:jc w:val="center"/>
              <w:rPr>
                <w:rFonts w:eastAsia="Source Serif Pro" w:cs="Source Serif Pro"/>
              </w:rPr>
            </w:pPr>
            <w:r w:rsidRPr="00A016AD">
              <w:rPr>
                <w:rFonts w:eastAsia="Source Serif Pro" w:cs="Source Serif Pro"/>
                <w:b/>
              </w:rPr>
              <w:t>Unadmitted Information</w:t>
            </w:r>
          </w:p>
        </w:tc>
        <w:tc>
          <w:tcPr>
            <w:tcW w:w="4140" w:type="dxa"/>
            <w:tcBorders>
              <w:top w:val="single" w:sz="6" w:space="0" w:color="auto"/>
              <w:left w:val="single" w:sz="6" w:space="0" w:color="auto"/>
              <w:bottom w:val="single" w:sz="6" w:space="0" w:color="auto"/>
              <w:right w:val="single" w:sz="6" w:space="0" w:color="auto"/>
            </w:tcBorders>
            <w:tcMar>
              <w:left w:w="105" w:type="dxa"/>
              <w:right w:w="105" w:type="dxa"/>
            </w:tcMar>
          </w:tcPr>
          <w:p w14:paraId="47B5A93F" w14:textId="77777777" w:rsidR="00EA1EA7" w:rsidRPr="00A016AD" w:rsidRDefault="00EA1EA7" w:rsidP="00A016AD">
            <w:pPr>
              <w:widowControl w:val="0"/>
              <w:spacing w:after="0"/>
              <w:jc w:val="center"/>
              <w:rPr>
                <w:rFonts w:eastAsia="Source Serif Pro" w:cs="Source Serif Pro"/>
              </w:rPr>
            </w:pPr>
            <w:r w:rsidRPr="00A016AD">
              <w:rPr>
                <w:rFonts w:eastAsia="Source Serif Pro" w:cs="Source Serif Pro"/>
                <w:b/>
              </w:rPr>
              <w:t>Discussion</w:t>
            </w:r>
          </w:p>
        </w:tc>
      </w:tr>
      <w:tr w:rsidR="00EA1EA7" w:rsidRPr="00804F31" w14:paraId="2E490DF6" w14:textId="77777777">
        <w:trPr>
          <w:trHeight w:val="300"/>
        </w:trPr>
        <w:tc>
          <w:tcPr>
            <w:tcW w:w="1935" w:type="dxa"/>
            <w:tcBorders>
              <w:top w:val="single" w:sz="6" w:space="0" w:color="auto"/>
              <w:left w:val="single" w:sz="6" w:space="0" w:color="auto"/>
              <w:bottom w:val="single" w:sz="6" w:space="0" w:color="auto"/>
              <w:right w:val="single" w:sz="6" w:space="0" w:color="auto"/>
            </w:tcBorders>
            <w:tcMar>
              <w:left w:w="105" w:type="dxa"/>
              <w:right w:w="105" w:type="dxa"/>
            </w:tcMar>
          </w:tcPr>
          <w:p w14:paraId="45730F6C" w14:textId="77777777" w:rsidR="00EA1EA7" w:rsidRPr="00A016AD" w:rsidRDefault="00EA1EA7" w:rsidP="00A016AD">
            <w:pPr>
              <w:widowControl w:val="0"/>
              <w:spacing w:after="0"/>
              <w:rPr>
                <w:rFonts w:eastAsia="Source Serif Pro" w:cs="Source Serif Pro"/>
              </w:rPr>
            </w:pPr>
            <w:r w:rsidRPr="00A016AD">
              <w:rPr>
                <w:rFonts w:eastAsia="Source Serif Pro" w:cs="Source Serif Pro"/>
              </w:rPr>
              <w:t>Air Force worker requiring a Secret clearance</w:t>
            </w:r>
          </w:p>
        </w:tc>
        <w:tc>
          <w:tcPr>
            <w:tcW w:w="3180" w:type="dxa"/>
            <w:tcBorders>
              <w:top w:val="single" w:sz="6" w:space="0" w:color="auto"/>
              <w:left w:val="single" w:sz="6" w:space="0" w:color="auto"/>
              <w:bottom w:val="single" w:sz="6" w:space="0" w:color="auto"/>
              <w:right w:val="single" w:sz="6" w:space="0" w:color="auto"/>
            </w:tcBorders>
            <w:tcMar>
              <w:left w:w="105" w:type="dxa"/>
              <w:right w:w="105" w:type="dxa"/>
            </w:tcMar>
          </w:tcPr>
          <w:p w14:paraId="6A23704F" w14:textId="77777777" w:rsidR="00EA1EA7" w:rsidRPr="00A016AD" w:rsidRDefault="00EA1EA7" w:rsidP="00A016AD">
            <w:pPr>
              <w:widowControl w:val="0"/>
              <w:spacing w:after="0"/>
              <w:rPr>
                <w:rFonts w:eastAsia="Source Serif Pro" w:cs="Source Serif Pro"/>
              </w:rPr>
            </w:pPr>
            <w:r w:rsidRPr="00A016AD">
              <w:rPr>
                <w:rFonts w:eastAsia="Source Serif Pro" w:cs="Source Serif Pro"/>
              </w:rPr>
              <w:t>Prior clearance revoked</w:t>
            </w:r>
          </w:p>
        </w:tc>
        <w:tc>
          <w:tcPr>
            <w:tcW w:w="4140" w:type="dxa"/>
            <w:tcBorders>
              <w:top w:val="single" w:sz="6" w:space="0" w:color="auto"/>
              <w:left w:val="single" w:sz="6" w:space="0" w:color="auto"/>
              <w:bottom w:val="single" w:sz="6" w:space="0" w:color="auto"/>
              <w:right w:val="single" w:sz="6" w:space="0" w:color="auto"/>
            </w:tcBorders>
            <w:tcMar>
              <w:left w:w="105" w:type="dxa"/>
              <w:right w:w="105" w:type="dxa"/>
            </w:tcMar>
          </w:tcPr>
          <w:p w14:paraId="6C986AE0" w14:textId="77777777" w:rsidR="00EA1EA7" w:rsidRPr="00A016AD" w:rsidRDefault="00EA1EA7" w:rsidP="00A016AD">
            <w:pPr>
              <w:widowControl w:val="0"/>
              <w:spacing w:after="0"/>
              <w:rPr>
                <w:rFonts w:eastAsia="Source Serif Pro" w:cs="Source Serif Pro"/>
              </w:rPr>
            </w:pPr>
            <w:r w:rsidRPr="00A016AD">
              <w:rPr>
                <w:rFonts w:eastAsia="Source Serif Pro" w:cs="Source Serif Pro"/>
              </w:rPr>
              <w:t>A prior clearance revocation would reasonably affect a decision to hire someone into a position requiring a clearance.</w:t>
            </w:r>
          </w:p>
        </w:tc>
      </w:tr>
      <w:tr w:rsidR="00EA1EA7" w:rsidRPr="00804F31" w14:paraId="7C3EBDD9" w14:textId="77777777">
        <w:trPr>
          <w:trHeight w:val="300"/>
        </w:trPr>
        <w:tc>
          <w:tcPr>
            <w:tcW w:w="1935" w:type="dxa"/>
            <w:tcBorders>
              <w:top w:val="single" w:sz="6" w:space="0" w:color="auto"/>
              <w:left w:val="single" w:sz="6" w:space="0" w:color="auto"/>
              <w:bottom w:val="single" w:sz="6" w:space="0" w:color="auto"/>
              <w:right w:val="single" w:sz="6" w:space="0" w:color="auto"/>
            </w:tcBorders>
            <w:tcMar>
              <w:left w:w="105" w:type="dxa"/>
              <w:right w:w="105" w:type="dxa"/>
            </w:tcMar>
          </w:tcPr>
          <w:p w14:paraId="43A95023" w14:textId="77777777" w:rsidR="00EA1EA7" w:rsidRPr="00A016AD" w:rsidRDefault="00EA1EA7" w:rsidP="00A016AD">
            <w:pPr>
              <w:widowControl w:val="0"/>
              <w:spacing w:after="0"/>
              <w:rPr>
                <w:rFonts w:eastAsia="Source Serif Pro" w:cs="Source Serif Pro"/>
              </w:rPr>
            </w:pPr>
            <w:r w:rsidRPr="00A016AD">
              <w:rPr>
                <w:rFonts w:eastAsia="Source Serif Pro" w:cs="Source Serif Pro"/>
              </w:rPr>
              <w:t>Administrative Assistant requiring Top Secret clearance</w:t>
            </w:r>
          </w:p>
        </w:tc>
        <w:tc>
          <w:tcPr>
            <w:tcW w:w="3180" w:type="dxa"/>
            <w:tcBorders>
              <w:top w:val="single" w:sz="6" w:space="0" w:color="auto"/>
              <w:left w:val="single" w:sz="6" w:space="0" w:color="auto"/>
              <w:bottom w:val="single" w:sz="6" w:space="0" w:color="auto"/>
              <w:right w:val="single" w:sz="6" w:space="0" w:color="auto"/>
            </w:tcBorders>
            <w:tcMar>
              <w:left w:w="105" w:type="dxa"/>
              <w:right w:w="105" w:type="dxa"/>
            </w:tcMar>
          </w:tcPr>
          <w:p w14:paraId="51742A47" w14:textId="77777777" w:rsidR="00EA1EA7" w:rsidRPr="00A016AD" w:rsidRDefault="00EA1EA7" w:rsidP="00A016AD">
            <w:pPr>
              <w:widowControl w:val="0"/>
              <w:spacing w:after="0"/>
              <w:rPr>
                <w:rFonts w:eastAsia="Source Serif Pro" w:cs="Source Serif Pro"/>
              </w:rPr>
            </w:pPr>
            <w:r w:rsidRPr="00A016AD">
              <w:rPr>
                <w:rFonts w:eastAsia="Source Serif Pro" w:cs="Source Serif Pro"/>
              </w:rPr>
              <w:t>Currently residing with a Foreign National</w:t>
            </w:r>
          </w:p>
        </w:tc>
        <w:tc>
          <w:tcPr>
            <w:tcW w:w="4140" w:type="dxa"/>
            <w:tcBorders>
              <w:top w:val="single" w:sz="6" w:space="0" w:color="auto"/>
              <w:left w:val="single" w:sz="6" w:space="0" w:color="auto"/>
              <w:bottom w:val="single" w:sz="6" w:space="0" w:color="auto"/>
              <w:right w:val="single" w:sz="6" w:space="0" w:color="auto"/>
            </w:tcBorders>
            <w:tcMar>
              <w:left w:w="105" w:type="dxa"/>
              <w:right w:w="105" w:type="dxa"/>
            </w:tcMar>
          </w:tcPr>
          <w:p w14:paraId="7086BE48" w14:textId="77777777" w:rsidR="00EA1EA7" w:rsidRPr="00A016AD" w:rsidRDefault="00EA1EA7" w:rsidP="00A016AD">
            <w:pPr>
              <w:widowControl w:val="0"/>
              <w:spacing w:after="0"/>
              <w:rPr>
                <w:rFonts w:eastAsia="Source Serif Pro" w:cs="Source Serif Pro"/>
              </w:rPr>
            </w:pPr>
            <w:r w:rsidRPr="00A016AD">
              <w:rPr>
                <w:rFonts w:eastAsia="Source Serif Pro" w:cs="Source Serif Pro"/>
              </w:rPr>
              <w:t>Potential foreign influence or allegiance would be a concern and could impact on a hiring or clearance decision.</w:t>
            </w:r>
          </w:p>
        </w:tc>
      </w:tr>
    </w:tbl>
    <w:p w14:paraId="27B02C7D" w14:textId="2B313EB8" w:rsidR="00EA1EA7" w:rsidRPr="00A016AD" w:rsidRDefault="00EA1EA7" w:rsidP="00DA0AE2">
      <w:pPr>
        <w:spacing w:before="120"/>
        <w:rPr>
          <w:rFonts w:eastAsia="Source Serif Pro" w:cs="Source Serif Pro"/>
          <w:color w:val="000000" w:themeColor="text1"/>
        </w:rPr>
      </w:pPr>
      <w:r w:rsidRPr="00A016AD">
        <w:rPr>
          <w:rFonts w:eastAsia="Source Serif Pro" w:cs="Source Serif Pro"/>
          <w:color w:val="000000" w:themeColor="text1"/>
        </w:rPr>
        <w:t>It is important to note these examples are not meant to be all-inclusive. The unadmitted conduct and the nature of the position and its duties and responsibilities must be carefully evaluated on a case-by-case basis to determine whether the unadmitted issues affect, could potentially affect, or have a natural tendency to affect, an official decision.</w:t>
      </w:r>
      <w:r w:rsidR="006202E5" w:rsidRPr="00A016AD">
        <w:rPr>
          <w:rFonts w:eastAsia="Source Serif Pro" w:cs="Source Serif Pro"/>
          <w:color w:val="000000" w:themeColor="text1"/>
        </w:rPr>
        <w:t xml:space="preserve"> </w:t>
      </w:r>
      <w:r w:rsidRPr="00A016AD">
        <w:rPr>
          <w:rFonts w:eastAsia="Source Serif Pro" w:cs="Source Serif Pro"/>
          <w:color w:val="000000" w:themeColor="text1"/>
        </w:rPr>
        <w:t>In making this decision, there is no formula or black and white methodology to apply. Rather, use the reasonable person approach. If common sense tells you most people would agree the conduct would probably have an impact on an official decision to clear the person’s suitability, hire the person, grant a clearance, approve for public trust duties, etc., the falsification is most likely material.</w:t>
      </w:r>
    </w:p>
    <w:p w14:paraId="2CA79273" w14:textId="433B0062" w:rsidR="00EA1EA7" w:rsidRPr="00A016AD" w:rsidRDefault="00627674" w:rsidP="001F1AC6">
      <w:pPr>
        <w:rPr>
          <w:rFonts w:eastAsia="Source Serif Pro" w:cs="Source Serif Pro"/>
          <w:color w:val="000000" w:themeColor="text1"/>
        </w:rPr>
      </w:pPr>
      <w:r w:rsidRPr="2AEFA46C">
        <w:rPr>
          <w:rFonts w:eastAsia="Source Serif Pro" w:cs="Source Serif Pro"/>
          <w:color w:val="000000" w:themeColor="text1"/>
        </w:rPr>
        <w:lastRenderedPageBreak/>
        <w:t xml:space="preserve">It is entirely appropriate that actions be taken against falsifiers </w:t>
      </w:r>
      <w:r w:rsidR="005F2E47" w:rsidRPr="2AEFA46C">
        <w:rPr>
          <w:rFonts w:eastAsia="Source Serif Pro" w:cs="Source Serif Pro"/>
          <w:color w:val="000000" w:themeColor="text1"/>
        </w:rPr>
        <w:t xml:space="preserve">whether </w:t>
      </w:r>
      <w:r w:rsidRPr="2AEFA46C">
        <w:rPr>
          <w:rFonts w:eastAsia="Source Serif Pro" w:cs="Source Serif Pro"/>
          <w:color w:val="000000" w:themeColor="text1"/>
        </w:rPr>
        <w:t xml:space="preserve">or not they succeed in their attempts to deceive. </w:t>
      </w:r>
      <w:r w:rsidR="003B2DBB">
        <w:t xml:space="preserve">The Court of Appeals for the Federal Circuit held in </w:t>
      </w:r>
      <w:r w:rsidR="003B2DBB" w:rsidRPr="2AEFA46C">
        <w:rPr>
          <w:i/>
          <w:iCs/>
          <w:u w:val="single"/>
        </w:rPr>
        <w:t xml:space="preserve">Kissner </w:t>
      </w:r>
      <w:r w:rsidR="003B2DBB" w:rsidRPr="2AEFA46C">
        <w:rPr>
          <w:i/>
          <w:iCs/>
        </w:rPr>
        <w:t xml:space="preserve">v. </w:t>
      </w:r>
      <w:r w:rsidR="003B2DBB" w:rsidRPr="2AEFA46C">
        <w:rPr>
          <w:i/>
          <w:iCs/>
          <w:u w:val="single"/>
        </w:rPr>
        <w:t>OPM</w:t>
      </w:r>
      <w:r w:rsidR="003B2DBB">
        <w:t>, 792 F.2d 133, 134 (Fed. Cir. 1986)</w:t>
      </w:r>
      <w:r w:rsidR="003B2DBB" w:rsidRPr="2AEFA46C">
        <w:rPr>
          <w:i/>
          <w:iCs/>
        </w:rPr>
        <w:t xml:space="preserve"> </w:t>
      </w:r>
      <w:r w:rsidR="003B2DBB">
        <w:t>that falsification of records, is a type of misconduct from which a nexus between the employee's misconduct and the efficiency of the service is presumed.</w:t>
      </w:r>
      <w:r w:rsidR="00F47DF7">
        <w:t xml:space="preserve"> </w:t>
      </w:r>
      <w:r w:rsidR="003B2DBB">
        <w:t xml:space="preserve">As the nexus is with the integrity or efficiency of the service, not with a particular position, OPM may take a suitability action based on an individual’s prior conduct of falsification unrelated to the position he or she currently occupies or for which he or she is currently applying. </w:t>
      </w:r>
      <w:r w:rsidR="00EA1EA7" w:rsidRPr="2AEFA46C">
        <w:rPr>
          <w:rFonts w:eastAsia="Source Serif Pro" w:cs="Source Serif Pro"/>
          <w:color w:val="000000" w:themeColor="text1"/>
        </w:rPr>
        <w:t xml:space="preserve">When the falsification is discovered after appointment, the above determination applies regardless of whether the selecting official erroneously failed to apply suitability standards or simply chose to ignore them. </w:t>
      </w:r>
    </w:p>
    <w:p w14:paraId="1EC87660" w14:textId="619F92AF" w:rsidR="00EA1EA7" w:rsidRPr="00A016AD" w:rsidRDefault="00EA1EA7" w:rsidP="001F1AC6">
      <w:pPr>
        <w:rPr>
          <w:rFonts w:eastAsia="Source Serif Pro" w:cs="Source Serif Pro"/>
          <w:color w:val="000000" w:themeColor="text1"/>
        </w:rPr>
      </w:pPr>
      <w:r w:rsidRPr="00A016AD">
        <w:rPr>
          <w:rFonts w:eastAsia="Source Serif Pro" w:cs="Source Serif Pro"/>
          <w:color w:val="000000" w:themeColor="text1"/>
        </w:rPr>
        <w:t>If a selecting official relied on a false statement when selecting someone, or the false statement appears to be reasonably related to the decision to select, that reliance makes the false statement material, whether or not it would be determinative of eligibility in and of itself.</w:t>
      </w:r>
      <w:r w:rsidR="00BF23AA">
        <w:rPr>
          <w:rFonts w:eastAsia="Source Serif Pro" w:cs="Source Serif Pro"/>
          <w:color w:val="000000" w:themeColor="text1"/>
        </w:rPr>
        <w:t xml:space="preserve"> </w:t>
      </w:r>
      <w:r w:rsidRPr="00A016AD">
        <w:rPr>
          <w:rFonts w:eastAsia="Source Serif Pro" w:cs="Source Serif Pro"/>
          <w:color w:val="000000" w:themeColor="text1"/>
        </w:rPr>
        <w:t>For example, while a job may not have a specific education requirement, a selecting official may be influenced by an applicant's falsified educational background and decide to select that person. In this situation, the false education claim is material. Similarly, an applicant with a minor criminal record might not have been selected for a particular job over applicants with no criminal record. In this situation, a false statement in response to the criminal record question on the appointment document is material.</w:t>
      </w:r>
    </w:p>
    <w:p w14:paraId="2ED2EF94" w14:textId="3C371BC9" w:rsidR="00F47DF7" w:rsidRPr="0062377D" w:rsidRDefault="00F47DF7" w:rsidP="00DA0AE2">
      <w:pPr>
        <w:rPr>
          <w:rFonts w:eastAsia="Calibri" w:cs="Calibri"/>
        </w:rPr>
      </w:pPr>
      <w:r w:rsidRPr="0062377D">
        <w:rPr>
          <w:rFonts w:eastAsia="Calibri" w:cs="Calibri"/>
        </w:rPr>
        <w:t>With respect to determining intent, an incorrect response cannot control the question of intent. Instead, OPM, or the agency if this factor is being used in a fitness determination, must establish that the false or deceptive answer or information was given with intent to deceive or mislead. There is seldom direct evidence of intent to deceive or mislead and circumstantial evidence may generally be relied up</w:t>
      </w:r>
      <w:r w:rsidR="009C4602" w:rsidRPr="0062377D">
        <w:rPr>
          <w:rFonts w:eastAsia="Calibri" w:cs="Calibri"/>
        </w:rPr>
        <w:t>on</w:t>
      </w:r>
      <w:r w:rsidRPr="0062377D">
        <w:rPr>
          <w:rFonts w:eastAsia="Calibri" w:cs="Calibri"/>
        </w:rPr>
        <w:t>. This may involve considering the available information as a whole to infer the requisite intent of the individual. For example, if an individual omits a termination in response to a question asking if one has been fired, intent is not established by proving only that the firing took place, and the individual knew about it. Rather, there must also be a case made for negative response to the question being for the purpose of misleading the agency. The individual’s intent to falsify can also be inferred when they make the misstatement or omission with reckless disregard for the truth, when they reasonably should have known in the circumstances not to respond the way they did, or when the individual’s explanation of the omission is incredible or implausible under the circumstances.</w:t>
      </w:r>
      <w:r w:rsidRPr="0062377D">
        <w:rPr>
          <w:rStyle w:val="FootnoteReference"/>
          <w:rFonts w:eastAsia="Calibri" w:cs="Calibri"/>
        </w:rPr>
        <w:footnoteReference w:id="6"/>
      </w:r>
      <w:r w:rsidRPr="0062377D">
        <w:rPr>
          <w:rFonts w:eastAsia="Calibri" w:cs="Calibri"/>
        </w:rPr>
        <w:t xml:space="preserve"> Agencies need not establish evidence of intent prior to referring these matters to OPM but must consider whether there is any evidence to the contrary. For example, if an individual fails to admit a termination on the OF 306, but at the same time as submitting the OF 306, provides a copy of the termination notice from the prior employment to the agency, they are not hiding the termination from the agency. </w:t>
      </w:r>
      <w:r w:rsidR="00433D84" w:rsidRPr="0062377D">
        <w:rPr>
          <w:rFonts w:eastAsia="Calibri" w:cs="Calibri"/>
        </w:rPr>
        <w:t>Or, if t</w:t>
      </w:r>
      <w:r w:rsidR="00433D84" w:rsidRPr="0062377D">
        <w:t>he individual made prompt, good-faith efforts to correct the omission, concealment, or falsification before being confronted with the facts, this is an indicator they were not intentionally try</w:t>
      </w:r>
      <w:r w:rsidR="00A51916">
        <w:t>ing</w:t>
      </w:r>
      <w:r w:rsidR="00433D84" w:rsidRPr="0062377D">
        <w:t xml:space="preserve"> to mislead or avoid discovery of the information. </w:t>
      </w:r>
    </w:p>
    <w:p w14:paraId="36BFA6AE" w14:textId="2931D0A0" w:rsidR="00EA1EA7" w:rsidRPr="00804F31" w:rsidRDefault="00EA1EA7" w:rsidP="00ED7EBE">
      <w:pPr>
        <w:pStyle w:val="Heading4"/>
      </w:pPr>
      <w:r w:rsidRPr="00804F31">
        <w:lastRenderedPageBreak/>
        <w:t>Potential Suitability/Fitness Concerns</w:t>
      </w:r>
    </w:p>
    <w:p w14:paraId="0F68E170" w14:textId="061B5547" w:rsidR="00EA1EA7" w:rsidRPr="0062377D" w:rsidRDefault="00EA1EA7" w:rsidP="00DA0AE2">
      <w:pPr>
        <w:spacing w:after="60"/>
        <w:rPr>
          <w:rFonts w:eastAsia="Source Serif Pro" w:cs="Source Serif Pro"/>
          <w:color w:val="000000" w:themeColor="text1"/>
        </w:rPr>
      </w:pPr>
      <w:r w:rsidRPr="0062377D">
        <w:rPr>
          <w:rFonts w:eastAsia="Source Serif Pro" w:cs="Source Serif Pro"/>
          <w:b/>
          <w:i/>
          <w:color w:val="000000" w:themeColor="text1"/>
        </w:rPr>
        <w:t>Examples of conditions that could raise a concern and may lead to an unfavorable determination include:</w:t>
      </w:r>
    </w:p>
    <w:p w14:paraId="459D4228" w14:textId="77777777" w:rsidR="00EA1EA7" w:rsidRPr="0062377D" w:rsidRDefault="00EA1EA7" w:rsidP="00A06D8B">
      <w:pPr>
        <w:pStyle w:val="ListParagraph"/>
        <w:numPr>
          <w:ilvl w:val="0"/>
          <w:numId w:val="41"/>
        </w:numPr>
        <w:spacing w:after="0"/>
        <w:contextualSpacing w:val="0"/>
        <w:rPr>
          <w:rFonts w:eastAsia="Source Serif Pro" w:cs="Source Serif Pro"/>
          <w:color w:val="000000" w:themeColor="text1"/>
        </w:rPr>
      </w:pPr>
      <w:r w:rsidRPr="0062377D">
        <w:rPr>
          <w:rFonts w:eastAsia="Source Serif Pro" w:cs="Source Serif Pro"/>
          <w:color w:val="000000" w:themeColor="text1"/>
        </w:rPr>
        <w:t>Intentional attempt to withhold information or furnish false information that is capable of influencing decisions about the individual’s suitability, qualifications, or other matters related to the appointment process.</w:t>
      </w:r>
    </w:p>
    <w:p w14:paraId="3CFFC269" w14:textId="77777777" w:rsidR="00EA1EA7" w:rsidRPr="0062377D" w:rsidRDefault="00EA1EA7" w:rsidP="00A06D8B">
      <w:pPr>
        <w:pStyle w:val="ListParagraph"/>
        <w:numPr>
          <w:ilvl w:val="0"/>
          <w:numId w:val="41"/>
        </w:numPr>
        <w:spacing w:after="0"/>
        <w:contextualSpacing w:val="0"/>
        <w:rPr>
          <w:rFonts w:eastAsia="Source Serif Pro" w:cs="Source Serif Pro"/>
          <w:color w:val="000000" w:themeColor="text1"/>
        </w:rPr>
      </w:pPr>
      <w:r w:rsidRPr="0062377D">
        <w:rPr>
          <w:rFonts w:eastAsia="Source Serif Pro" w:cs="Source Serif Pro"/>
          <w:color w:val="000000" w:themeColor="text1"/>
        </w:rPr>
        <w:t>Material, intentional omission of information clearly related to the position sought (such as a performance discharge from the same type of job or a conviction for drug use when applying for a job in the medical field).</w:t>
      </w:r>
    </w:p>
    <w:p w14:paraId="3AD213BB" w14:textId="77777777" w:rsidR="00EA1EA7" w:rsidRPr="0062377D" w:rsidRDefault="00EA1EA7" w:rsidP="00A06D8B">
      <w:pPr>
        <w:pStyle w:val="ListParagraph"/>
        <w:numPr>
          <w:ilvl w:val="0"/>
          <w:numId w:val="41"/>
        </w:numPr>
        <w:contextualSpacing w:val="0"/>
        <w:rPr>
          <w:rFonts w:eastAsia="Source Serif Pro" w:cs="Source Serif Pro"/>
          <w:color w:val="000000" w:themeColor="text1"/>
        </w:rPr>
      </w:pPr>
      <w:r w:rsidRPr="0062377D">
        <w:rPr>
          <w:rFonts w:eastAsia="Source Serif Pro" w:cs="Source Serif Pro"/>
          <w:color w:val="000000" w:themeColor="text1"/>
        </w:rPr>
        <w:t xml:space="preserve">Materially, intentionally falsifying experience, education, etc. that could influence an official decision (the experience or education does not have to be required for the position; it only needs to have a natural tendency to influence the decision). </w:t>
      </w:r>
    </w:p>
    <w:p w14:paraId="284BC1C1" w14:textId="77777777" w:rsidR="00EA1EA7" w:rsidRPr="00804F31" w:rsidRDefault="00EA1EA7" w:rsidP="00ED7EBE">
      <w:pPr>
        <w:pStyle w:val="Heading4"/>
      </w:pPr>
      <w:r w:rsidRPr="00804F31">
        <w:t xml:space="preserve">Mitigating Conditions </w:t>
      </w:r>
    </w:p>
    <w:p w14:paraId="7D54D443" w14:textId="77777777" w:rsidR="00EA1EA7" w:rsidRPr="002C227D" w:rsidRDefault="00EA1EA7" w:rsidP="00A06D8B">
      <w:pPr>
        <w:pStyle w:val="ListParagraph"/>
        <w:numPr>
          <w:ilvl w:val="0"/>
          <w:numId w:val="40"/>
        </w:numPr>
        <w:spacing w:after="0"/>
        <w:rPr>
          <w:rFonts w:eastAsia="Source Serif Pro" w:cs="Source Serif Pro"/>
          <w:color w:val="000000" w:themeColor="text1"/>
        </w:rPr>
      </w:pPr>
      <w:r w:rsidRPr="002C227D">
        <w:rPr>
          <w:rFonts w:eastAsia="Source Serif Pro" w:cs="Source Serif Pro"/>
          <w:color w:val="000000" w:themeColor="text1"/>
        </w:rPr>
        <w:t xml:space="preserve">Material, intentional false statements, or deception or fraud, in examination or appointment cannot be mitigated. </w:t>
      </w:r>
    </w:p>
    <w:p w14:paraId="018EDA08" w14:textId="77777777" w:rsidR="00433D84" w:rsidRPr="00804F31" w:rsidRDefault="00433D84" w:rsidP="00433D84">
      <w:pPr>
        <w:pStyle w:val="ListParagraph"/>
        <w:spacing w:after="0"/>
        <w:rPr>
          <w:rFonts w:ascii="Source Sans Pro" w:eastAsia="Source Serif Pro" w:hAnsi="Source Sans Pro" w:cs="Source Serif Pro"/>
          <w:b/>
          <w:bCs/>
          <w:i/>
          <w:iCs/>
          <w:color w:val="000000" w:themeColor="text1"/>
        </w:rPr>
      </w:pPr>
    </w:p>
    <w:p w14:paraId="6B75599B" w14:textId="03B1C0CC" w:rsidR="00FF7248" w:rsidRPr="00D43B0F" w:rsidRDefault="00FF7248" w:rsidP="007534C8">
      <w:pPr>
        <w:pStyle w:val="Heading4"/>
      </w:pPr>
      <w:bookmarkStart w:id="62" w:name="_Guidance_For_Cases"/>
      <w:bookmarkEnd w:id="62"/>
      <w:r w:rsidRPr="00804F31">
        <w:t>G</w:t>
      </w:r>
      <w:r w:rsidR="00897502">
        <w:t>uidance</w:t>
      </w:r>
      <w:r w:rsidRPr="00804F31">
        <w:t xml:space="preserve"> F</w:t>
      </w:r>
      <w:r w:rsidR="00897502">
        <w:t>or</w:t>
      </w:r>
      <w:r w:rsidRPr="00804F31">
        <w:t xml:space="preserve"> C</w:t>
      </w:r>
      <w:r w:rsidR="00897502">
        <w:t>ases</w:t>
      </w:r>
      <w:r w:rsidRPr="00804F31">
        <w:t xml:space="preserve"> I</w:t>
      </w:r>
      <w:r w:rsidR="00897502">
        <w:t>nvolving</w:t>
      </w:r>
      <w:r w:rsidRPr="00804F31">
        <w:t xml:space="preserve"> F</w:t>
      </w:r>
      <w:r w:rsidR="00897502">
        <w:t>alse</w:t>
      </w:r>
      <w:r w:rsidRPr="00804F31">
        <w:t xml:space="preserve"> </w:t>
      </w:r>
      <w:r w:rsidR="00897502">
        <w:t>or</w:t>
      </w:r>
      <w:r w:rsidRPr="00804F31">
        <w:t xml:space="preserve"> I</w:t>
      </w:r>
      <w:r w:rsidR="00897502">
        <w:t>nflated</w:t>
      </w:r>
      <w:r w:rsidRPr="00804F31">
        <w:t xml:space="preserve"> E</w:t>
      </w:r>
      <w:r w:rsidR="00897502">
        <w:t>ducation</w:t>
      </w:r>
      <w:r w:rsidRPr="00804F31">
        <w:t xml:space="preserve"> C</w:t>
      </w:r>
      <w:r w:rsidR="00897502">
        <w:t>redentials</w:t>
      </w:r>
    </w:p>
    <w:p w14:paraId="0FFB76F0" w14:textId="77777777" w:rsidR="00FF7248" w:rsidRPr="00804F31" w:rsidRDefault="00FF7248" w:rsidP="007534C8">
      <w:pPr>
        <w:pStyle w:val="Heading5"/>
      </w:pPr>
      <w:r w:rsidRPr="00804F31">
        <w:t xml:space="preserve">Overview </w:t>
      </w:r>
    </w:p>
    <w:p w14:paraId="72D42576" w14:textId="29BE10A8" w:rsidR="00FF7248" w:rsidRPr="005431BE" w:rsidRDefault="00FF7248" w:rsidP="00055256">
      <w:pPr>
        <w:rPr>
          <w:rFonts w:eastAsia="Times New Roman" w:cs="Times New Roman"/>
          <w:spacing w:val="0"/>
        </w:rPr>
      </w:pPr>
      <w:r w:rsidRPr="005431BE">
        <w:rPr>
          <w:rFonts w:eastAsia="Times New Roman" w:cs="Times New Roman"/>
          <w:spacing w:val="0"/>
        </w:rPr>
        <w:t>In 1986, OPM alerted Federal agencies to the FBI’s investigation of questionable educational institutions that sell fraudulent college degrees and other professional credentials (commonly known as diploma mills). Diploma mills are defined as “unregulated institutions of higher education, granting degrees with few or no academic requirements” (Merriam-Webster Collegiate Dictionary, 10</w:t>
      </w:r>
      <w:r w:rsidRPr="005431BE">
        <w:rPr>
          <w:rFonts w:eastAsia="Times New Roman" w:cs="Times New Roman"/>
          <w:spacing w:val="0"/>
          <w:vertAlign w:val="superscript"/>
        </w:rPr>
        <w:t>th</w:t>
      </w:r>
      <w:r w:rsidRPr="005431BE">
        <w:rPr>
          <w:rFonts w:eastAsia="Times New Roman" w:cs="Times New Roman"/>
          <w:spacing w:val="0"/>
        </w:rPr>
        <w:t xml:space="preserve"> Edition). These institutions exist, and individuals continue to claim degrees from diploma mills on Federal employment forms</w:t>
      </w:r>
      <w:r w:rsidR="00851FBD" w:rsidRPr="005431BE">
        <w:rPr>
          <w:rFonts w:eastAsia="Times New Roman" w:cs="Times New Roman"/>
          <w:spacing w:val="0"/>
        </w:rPr>
        <w:t xml:space="preserve"> </w:t>
      </w:r>
      <w:r w:rsidRPr="005431BE">
        <w:rPr>
          <w:rFonts w:eastAsia="Times New Roman" w:cs="Times New Roman"/>
          <w:spacing w:val="0"/>
        </w:rPr>
        <w:t>OPM shares responsibilities with agencies for dealing with this problem. Agency human resource and personnel security personnel have an important role in detecting and dealing with diploma mill degree claims. Credentials received from diploma mills cannot be considered for student loan repayment, academic degree training program, tuition reimbursement, or employee training. They also cannot be used to meet position qualification requirements. Therefore, agencies are urged to review this material carefully and to take appropriate action to assist in minimizing this problem.</w:t>
      </w:r>
    </w:p>
    <w:p w14:paraId="4FAE088B" w14:textId="687EF628" w:rsidR="00FF7248" w:rsidRPr="00804F31" w:rsidRDefault="00FF7248" w:rsidP="007534C8">
      <w:pPr>
        <w:pStyle w:val="Heading5"/>
        <w:rPr>
          <w:bCs/>
          <w:sz w:val="23"/>
          <w:szCs w:val="20"/>
        </w:rPr>
      </w:pPr>
      <w:r w:rsidRPr="00804F31">
        <w:t>Qualification Requirements</w:t>
      </w:r>
    </w:p>
    <w:p w14:paraId="628A8CE4" w14:textId="167F0D09" w:rsidR="00FF7248" w:rsidRPr="00C6570A" w:rsidRDefault="00FF7248" w:rsidP="00F94706">
      <w:pPr>
        <w:rPr>
          <w:rFonts w:eastAsia="Times New Roman" w:cs="Calibri"/>
          <w:spacing w:val="0"/>
        </w:rPr>
      </w:pPr>
      <w:r w:rsidRPr="00C6570A">
        <w:rPr>
          <w:rFonts w:eastAsia="Times New Roman" w:cs="Calibri"/>
          <w:spacing w:val="0"/>
        </w:rPr>
        <w:t xml:space="preserve">Generally, education must be from accredited institutions when used to qualify for positions with positive education requirements. Vacancy announcements in USAJOBS will specify this requirement. Regardless of a positive education requirement, USAJOBS vacancy announcements also contain information regarding the consequences for misrepresenting experience or education or providing false or fraudulent information in or with the application. </w:t>
      </w:r>
    </w:p>
    <w:p w14:paraId="784C0335" w14:textId="7FA7AEF2" w:rsidR="00FF7248" w:rsidRPr="00804F31" w:rsidRDefault="00FF7248" w:rsidP="007534C8">
      <w:pPr>
        <w:pStyle w:val="Heading5"/>
        <w:rPr>
          <w:bCs/>
          <w:sz w:val="23"/>
          <w:szCs w:val="20"/>
        </w:rPr>
      </w:pPr>
      <w:bookmarkStart w:id="63" w:name="IdentFraudDegrees"/>
      <w:r w:rsidRPr="00804F31">
        <w:lastRenderedPageBreak/>
        <w:t>Identifying Fraudulent Degrees</w:t>
      </w:r>
      <w:bookmarkEnd w:id="63"/>
    </w:p>
    <w:p w14:paraId="1723F62D" w14:textId="113164F7" w:rsidR="00FF7248" w:rsidRPr="00106A3B" w:rsidRDefault="00FF7248" w:rsidP="00925ADD">
      <w:pPr>
        <w:rPr>
          <w:rFonts w:eastAsia="Times New Roman" w:cs="Calibri"/>
          <w:spacing w:val="0"/>
        </w:rPr>
      </w:pPr>
      <w:r w:rsidRPr="00106A3B">
        <w:rPr>
          <w:rFonts w:eastAsia="Times New Roman" w:cs="Calibri"/>
          <w:spacing w:val="0"/>
        </w:rPr>
        <w:t>When reviewing education claims, ordinarily there is a progression to successively higher degrees (bachelor’s, master’s, doctoral). Also, there is usually a certain period of time for each degree (three to four years for an undergraduate degree, one to two years for a master’s, etc.). Inconsistencies with the norm may indicate education fraud.</w:t>
      </w:r>
    </w:p>
    <w:p w14:paraId="59A7E1CE" w14:textId="77777777" w:rsidR="00FF7248" w:rsidRPr="00106A3B" w:rsidRDefault="00FF7248" w:rsidP="00F94706">
      <w:pPr>
        <w:spacing w:after="60"/>
        <w:rPr>
          <w:rFonts w:eastAsia="Times New Roman" w:cs="Calibri"/>
          <w:spacing w:val="0"/>
        </w:rPr>
      </w:pPr>
      <w:r w:rsidRPr="00106A3B">
        <w:rPr>
          <w:rFonts w:eastAsia="Times New Roman" w:cs="Calibri"/>
          <w:spacing w:val="0"/>
        </w:rPr>
        <w:t>The following list shows some of the inconsistencies an agency might observe during the application process that might reveal education fraud:</w:t>
      </w:r>
    </w:p>
    <w:p w14:paraId="188E844A" w14:textId="77777777" w:rsidR="00FF7248" w:rsidRPr="00106A3B" w:rsidRDefault="00FF7248" w:rsidP="00A06D8B">
      <w:pPr>
        <w:numPr>
          <w:ilvl w:val="0"/>
          <w:numId w:val="52"/>
        </w:numPr>
        <w:spacing w:after="0"/>
        <w:rPr>
          <w:rFonts w:eastAsia="Calibri" w:cs="Times New Roman"/>
          <w:spacing w:val="0"/>
        </w:rPr>
      </w:pPr>
      <w:r w:rsidRPr="00106A3B">
        <w:rPr>
          <w:rFonts w:eastAsia="Calibri" w:cs="Times New Roman"/>
          <w:spacing w:val="0"/>
        </w:rPr>
        <w:t>Application/résumé shows advanced degrees, but no undergraduate degree</w:t>
      </w:r>
    </w:p>
    <w:p w14:paraId="2E75C64D" w14:textId="77777777" w:rsidR="00FF7248" w:rsidRPr="00106A3B" w:rsidRDefault="00FF7248" w:rsidP="00A06D8B">
      <w:pPr>
        <w:numPr>
          <w:ilvl w:val="0"/>
          <w:numId w:val="52"/>
        </w:numPr>
        <w:spacing w:after="0"/>
        <w:rPr>
          <w:rFonts w:eastAsia="Calibri" w:cs="Times New Roman"/>
          <w:spacing w:val="0"/>
        </w:rPr>
      </w:pPr>
      <w:r w:rsidRPr="00106A3B">
        <w:rPr>
          <w:rFonts w:eastAsia="Calibri" w:cs="Times New Roman"/>
          <w:spacing w:val="0"/>
        </w:rPr>
        <w:t>One or more degrees received in a short period of time</w:t>
      </w:r>
    </w:p>
    <w:p w14:paraId="77455362" w14:textId="77777777" w:rsidR="00FF7248" w:rsidRPr="00106A3B" w:rsidRDefault="00FF7248" w:rsidP="00A06D8B">
      <w:pPr>
        <w:numPr>
          <w:ilvl w:val="0"/>
          <w:numId w:val="52"/>
        </w:numPr>
        <w:spacing w:after="0"/>
        <w:rPr>
          <w:rFonts w:eastAsia="Calibri" w:cs="Times New Roman"/>
          <w:spacing w:val="0"/>
        </w:rPr>
      </w:pPr>
      <w:r w:rsidRPr="00106A3B">
        <w:rPr>
          <w:rFonts w:eastAsia="Calibri" w:cs="Times New Roman"/>
          <w:spacing w:val="0"/>
        </w:rPr>
        <w:t>Multiple degrees received in the same year at the same school</w:t>
      </w:r>
    </w:p>
    <w:p w14:paraId="399CC785" w14:textId="77777777" w:rsidR="00FF7248" w:rsidRPr="00106A3B" w:rsidRDefault="00FF7248" w:rsidP="00A06D8B">
      <w:pPr>
        <w:numPr>
          <w:ilvl w:val="0"/>
          <w:numId w:val="52"/>
        </w:numPr>
        <w:spacing w:after="0"/>
        <w:rPr>
          <w:rFonts w:eastAsia="Calibri" w:cs="Times New Roman"/>
          <w:spacing w:val="0"/>
        </w:rPr>
      </w:pPr>
      <w:r w:rsidRPr="00106A3B">
        <w:rPr>
          <w:rFonts w:eastAsia="Calibri" w:cs="Times New Roman"/>
          <w:spacing w:val="0"/>
        </w:rPr>
        <w:t>Unfamiliar school name</w:t>
      </w:r>
    </w:p>
    <w:p w14:paraId="4E9F08F7" w14:textId="77777777" w:rsidR="00FF7248" w:rsidRPr="00106A3B" w:rsidRDefault="00FF7248" w:rsidP="00A06D8B">
      <w:pPr>
        <w:numPr>
          <w:ilvl w:val="0"/>
          <w:numId w:val="52"/>
        </w:numPr>
        <w:spacing w:after="0"/>
        <w:rPr>
          <w:rFonts w:eastAsia="Calibri" w:cs="Times New Roman"/>
          <w:spacing w:val="0"/>
        </w:rPr>
      </w:pPr>
      <w:r w:rsidRPr="00106A3B">
        <w:rPr>
          <w:rFonts w:eastAsia="Calibri" w:cs="Times New Roman"/>
          <w:spacing w:val="0"/>
        </w:rPr>
        <w:t>Same or similar name to a legitimate school, but located in a different state</w:t>
      </w:r>
    </w:p>
    <w:p w14:paraId="4627C8CB" w14:textId="77777777" w:rsidR="00FF7248" w:rsidRPr="00106A3B" w:rsidRDefault="00FF7248" w:rsidP="00A06D8B">
      <w:pPr>
        <w:numPr>
          <w:ilvl w:val="0"/>
          <w:numId w:val="52"/>
        </w:numPr>
        <w:spacing w:after="0"/>
        <w:rPr>
          <w:rFonts w:eastAsia="Calibri" w:cs="Times New Roman"/>
          <w:spacing w:val="0"/>
        </w:rPr>
      </w:pPr>
      <w:r w:rsidRPr="00106A3B">
        <w:rPr>
          <w:rFonts w:eastAsia="Calibri" w:cs="Times New Roman"/>
          <w:spacing w:val="0"/>
        </w:rPr>
        <w:t>Application/résumé shows full-time employment during period of college attendance, particularly if the employment and college were in different locations</w:t>
      </w:r>
    </w:p>
    <w:p w14:paraId="7F4EDE25" w14:textId="77777777" w:rsidR="00FF7248" w:rsidRPr="00106A3B" w:rsidRDefault="00FF7248" w:rsidP="00A06D8B">
      <w:pPr>
        <w:numPr>
          <w:ilvl w:val="0"/>
          <w:numId w:val="52"/>
        </w:numPr>
        <w:spacing w:after="0"/>
        <w:rPr>
          <w:rFonts w:eastAsia="Calibri" w:cs="Times New Roman"/>
          <w:spacing w:val="0"/>
        </w:rPr>
      </w:pPr>
      <w:r w:rsidRPr="00106A3B">
        <w:rPr>
          <w:rFonts w:eastAsia="Calibri" w:cs="Times New Roman"/>
          <w:spacing w:val="0"/>
        </w:rPr>
        <w:t>No residence shown on the investigation form in the area where the college is located</w:t>
      </w:r>
    </w:p>
    <w:p w14:paraId="0FAD3FCF" w14:textId="77777777" w:rsidR="00FF7248" w:rsidRPr="00106A3B" w:rsidRDefault="00FF7248" w:rsidP="00A06D8B">
      <w:pPr>
        <w:numPr>
          <w:ilvl w:val="0"/>
          <w:numId w:val="52"/>
        </w:numPr>
        <w:spacing w:after="0"/>
        <w:rPr>
          <w:rFonts w:eastAsia="Calibri" w:cs="Times New Roman"/>
          <w:spacing w:val="0"/>
        </w:rPr>
      </w:pPr>
      <w:r w:rsidRPr="00106A3B">
        <w:rPr>
          <w:rFonts w:eastAsia="Calibri" w:cs="Times New Roman"/>
          <w:spacing w:val="0"/>
        </w:rPr>
        <w:t>School located in a foreign country, but individual does not show foreign travel</w:t>
      </w:r>
    </w:p>
    <w:p w14:paraId="0475A02D" w14:textId="77777777" w:rsidR="00FF7248" w:rsidRPr="00106A3B" w:rsidRDefault="00FF7248" w:rsidP="00A06D8B">
      <w:pPr>
        <w:numPr>
          <w:ilvl w:val="0"/>
          <w:numId w:val="52"/>
        </w:numPr>
        <w:rPr>
          <w:rFonts w:eastAsia="Calibri" w:cs="Times New Roman"/>
          <w:spacing w:val="0"/>
        </w:rPr>
      </w:pPr>
      <w:r w:rsidRPr="00106A3B">
        <w:rPr>
          <w:rFonts w:eastAsia="Calibri" w:cs="Times New Roman"/>
          <w:spacing w:val="0"/>
        </w:rPr>
        <w:t>Education claims on application/résumé are different from claims on the investigation forms</w:t>
      </w:r>
    </w:p>
    <w:p w14:paraId="2F8E85C3" w14:textId="64138FDD" w:rsidR="00FF7248" w:rsidRPr="00106A3B" w:rsidRDefault="00FF7248" w:rsidP="00F94706">
      <w:pPr>
        <w:spacing w:after="0"/>
        <w:rPr>
          <w:rFonts w:eastAsia="Times New Roman" w:cs="Times New Roman"/>
          <w:spacing w:val="0"/>
        </w:rPr>
      </w:pPr>
      <w:r w:rsidRPr="00106A3B">
        <w:rPr>
          <w:rFonts w:eastAsia="Times New Roman" w:cs="Times New Roman"/>
          <w:spacing w:val="0"/>
        </w:rPr>
        <w:t xml:space="preserve">When verifying the legitimacy of a college or university or an accrediting institution, it is important to rely on reputable sources. Accrediting institutions can be as fraudulent as the schools they claim to accredit, so there may be a need to verify both the school and accrediting institution. The U.S. Department of Education provides information on its website at </w:t>
      </w:r>
      <w:hyperlink r:id="rId21" w:anchor="/home" w:history="1">
        <w:r w:rsidR="00400CE0" w:rsidRPr="002F4606">
          <w:rPr>
            <w:rStyle w:val="Hyperlink"/>
            <w:rFonts w:eastAsia="Times New Roman" w:cs="Times New Roman"/>
            <w:spacing w:val="0"/>
          </w:rPr>
          <w:t>https://ope.ed.gov/dapip/#/home</w:t>
        </w:r>
      </w:hyperlink>
      <w:r w:rsidR="00400CE0">
        <w:rPr>
          <w:rFonts w:eastAsia="Times New Roman" w:cs="Times New Roman"/>
          <w:spacing w:val="0"/>
        </w:rPr>
        <w:t xml:space="preserve"> </w:t>
      </w:r>
      <w:r w:rsidRPr="00106A3B">
        <w:rPr>
          <w:rFonts w:eastAsia="Times New Roman" w:cs="Times New Roman"/>
          <w:spacing w:val="0"/>
        </w:rPr>
        <w:t>on post-secondary educational institutions and programs accredited by accrediting agencies and state agencies recognized by the U.S. Secretary of Education. The Department of Education recommends using databases as one source of qualitative information and that additional sources be consulted. The website also provides information on nationally recognized accrediting institutions and links to their websites.</w:t>
      </w:r>
      <w:r w:rsidR="002651D1">
        <w:rPr>
          <w:rFonts w:eastAsia="Times New Roman" w:cs="Times New Roman"/>
          <w:spacing w:val="0"/>
        </w:rPr>
        <w:br/>
      </w:r>
    </w:p>
    <w:p w14:paraId="452B9373" w14:textId="77777777" w:rsidR="002C227D" w:rsidRDefault="00FF7248" w:rsidP="003B3C31">
      <w:pPr>
        <w:spacing w:after="0"/>
        <w:rPr>
          <w:rFonts w:eastAsia="Times New Roman" w:cs="Times New Roman"/>
          <w:spacing w:val="0"/>
        </w:rPr>
      </w:pPr>
      <w:r w:rsidRPr="00106A3B">
        <w:rPr>
          <w:rFonts w:eastAsia="Times New Roman" w:cs="Times New Roman"/>
          <w:spacing w:val="0"/>
        </w:rPr>
        <w:t xml:space="preserve">Sometimes a fraudulent education claim is not identified during the screening process, and the background investigation process is initiated. When reviewing the education coverage in an investigation, watch for results of “no record” or “undeliverable,” as these might signal a suspect education institution or some other type of fraud. At a minimum, it means the education claims have not been verified. Resolution of the issue can be accomplished by following the </w:t>
      </w:r>
      <w:hyperlink w:anchor="_Adjudicative_Processing_of" w:history="1">
        <w:r w:rsidRPr="00106A3B">
          <w:rPr>
            <w:rFonts w:eastAsia="Times New Roman" w:cs="Times New Roman"/>
            <w:spacing w:val="0"/>
          </w:rPr>
          <w:t>Adjudicative Processing</w:t>
        </w:r>
      </w:hyperlink>
      <w:r w:rsidRPr="00106A3B">
        <w:rPr>
          <w:rFonts w:eastAsia="Times New Roman" w:cs="Times New Roman"/>
          <w:spacing w:val="0"/>
        </w:rPr>
        <w:t xml:space="preserve"> section of this </w:t>
      </w:r>
      <w:hyperlink w:anchor="_3.4.D3.8_–_Adjudicative" w:history="1">
        <w:r w:rsidR="00DA7BC0">
          <w:rPr>
            <w:rStyle w:val="Hyperlink"/>
            <w:rFonts w:eastAsia="Times New Roman" w:cs="Times New Roman"/>
            <w:spacing w:val="0"/>
          </w:rPr>
          <w:t>V</w:t>
        </w:r>
        <w:r w:rsidRPr="00A160D7">
          <w:rPr>
            <w:rStyle w:val="Hyperlink"/>
            <w:rFonts w:eastAsia="Times New Roman" w:cs="Times New Roman"/>
            <w:spacing w:val="0"/>
          </w:rPr>
          <w:t>olume</w:t>
        </w:r>
      </w:hyperlink>
      <w:r w:rsidRPr="00106A3B">
        <w:rPr>
          <w:rFonts w:eastAsia="Times New Roman" w:cs="Times New Roman"/>
          <w:spacing w:val="0"/>
        </w:rPr>
        <w:t>.</w:t>
      </w:r>
      <w:r w:rsidRPr="00106A3B" w:rsidDel="0055226D">
        <w:rPr>
          <w:rFonts w:eastAsia="Times New Roman" w:cs="Times New Roman"/>
          <w:spacing w:val="0"/>
        </w:rPr>
        <w:t xml:space="preserve"> </w:t>
      </w:r>
      <w:r w:rsidR="003B3C31">
        <w:rPr>
          <w:rFonts w:eastAsia="Times New Roman" w:cs="Times New Roman"/>
          <w:spacing w:val="0"/>
        </w:rPr>
        <w:br/>
      </w:r>
    </w:p>
    <w:p w14:paraId="7F923A24" w14:textId="2CF1A2C4" w:rsidR="00FF7248" w:rsidRPr="00106A3B" w:rsidRDefault="00FF7248" w:rsidP="003B3C31">
      <w:pPr>
        <w:spacing w:after="0"/>
        <w:rPr>
          <w:rFonts w:eastAsia="Times New Roman" w:cs="Times New Roman"/>
          <w:spacing w:val="0"/>
        </w:rPr>
      </w:pPr>
      <w:r w:rsidRPr="00106A3B">
        <w:rPr>
          <w:rFonts w:eastAsia="Times New Roman" w:cs="Times New Roman"/>
          <w:spacing w:val="0"/>
        </w:rPr>
        <w:t xml:space="preserve">For a list of possible “red flags” that may signal a diploma mill, see the </w:t>
      </w:r>
      <w:hyperlink w:anchor="_Red_Flags_of">
        <w:r w:rsidRPr="2AEFA46C">
          <w:rPr>
            <w:rStyle w:val="Hyperlink"/>
            <w:rFonts w:eastAsia="Times New Roman" w:cs="Times New Roman"/>
          </w:rPr>
          <w:t>Red Flags of Fraudulent Education Credentials</w:t>
        </w:r>
      </w:hyperlink>
      <w:r w:rsidRPr="00106A3B">
        <w:rPr>
          <w:rFonts w:eastAsia="Times New Roman" w:cs="Times New Roman"/>
          <w:spacing w:val="0"/>
        </w:rPr>
        <w:t xml:space="preserve"> section</w:t>
      </w:r>
      <w:r w:rsidR="005762EB">
        <w:rPr>
          <w:rFonts w:eastAsia="Times New Roman" w:cs="Times New Roman"/>
          <w:spacing w:val="0"/>
        </w:rPr>
        <w:t xml:space="preserve"> </w:t>
      </w:r>
      <w:r w:rsidR="00301EF4">
        <w:rPr>
          <w:rFonts w:eastAsia="Times New Roman" w:cs="Times New Roman"/>
          <w:spacing w:val="0"/>
        </w:rPr>
        <w:t>below</w:t>
      </w:r>
      <w:r w:rsidRPr="00106A3B">
        <w:rPr>
          <w:rFonts w:eastAsia="Times New Roman" w:cs="Times New Roman"/>
          <w:spacing w:val="0"/>
        </w:rPr>
        <w:t>.</w:t>
      </w:r>
    </w:p>
    <w:p w14:paraId="27CD7C14" w14:textId="4DAC6B3A" w:rsidR="00FF7248" w:rsidRPr="00804F31" w:rsidRDefault="003B3C31" w:rsidP="000B2ED2">
      <w:pPr>
        <w:pStyle w:val="Heading5"/>
        <w:rPr>
          <w:bCs/>
          <w:sz w:val="23"/>
          <w:szCs w:val="20"/>
        </w:rPr>
      </w:pPr>
      <w:r>
        <w:br/>
      </w:r>
      <w:r w:rsidR="00FF7248" w:rsidRPr="00804F31">
        <w:t>Falsification/Deception/Fraud</w:t>
      </w:r>
    </w:p>
    <w:p w14:paraId="111DCEA1" w14:textId="5889242C" w:rsidR="00FF7248" w:rsidRPr="00BF48D4" w:rsidRDefault="00FF7248" w:rsidP="0054784B">
      <w:pPr>
        <w:rPr>
          <w:rFonts w:eastAsia="Times New Roman" w:cs="Times New Roman"/>
          <w:spacing w:val="-1"/>
        </w:rPr>
      </w:pPr>
      <w:r w:rsidRPr="00BF48D4">
        <w:rPr>
          <w:rFonts w:eastAsia="Times New Roman" w:cs="Calibri"/>
          <w:spacing w:val="0"/>
        </w:rPr>
        <w:t xml:space="preserve">Claiming false education credentials may be a material, intentional false statement. Individuals may claim degrees to meet the qualification requirements for a position or to enhance their </w:t>
      </w:r>
      <w:r w:rsidRPr="00BF48D4">
        <w:rPr>
          <w:rFonts w:eastAsia="Times New Roman" w:cs="Calibri"/>
          <w:spacing w:val="0"/>
        </w:rPr>
        <w:lastRenderedPageBreak/>
        <w:t>credentials. In either situation, the false statement may be considered material even if the position did not require a degree</w:t>
      </w:r>
      <w:r w:rsidR="00804F31" w:rsidRPr="00BF48D4">
        <w:rPr>
          <w:rFonts w:eastAsia="Times New Roman" w:cs="Calibri"/>
          <w:spacing w:val="0"/>
        </w:rPr>
        <w:t xml:space="preserve">. </w:t>
      </w:r>
      <w:r w:rsidRPr="00BF48D4">
        <w:rPr>
          <w:rFonts w:eastAsia="Times New Roman" w:cs="Times New Roman"/>
          <w:spacing w:val="-1"/>
        </w:rPr>
        <w:t xml:space="preserve">As discussed earlier in this </w:t>
      </w:r>
      <w:r w:rsidRPr="00BF23AA">
        <w:rPr>
          <w:rFonts w:eastAsia="Times New Roman" w:cs="Times New Roman"/>
          <w:spacing w:val="-1"/>
        </w:rPr>
        <w:t>volume</w:t>
      </w:r>
      <w:r w:rsidRPr="00BF48D4">
        <w:rPr>
          <w:rFonts w:eastAsia="Times New Roman" w:cs="Times New Roman"/>
          <w:spacing w:val="-1"/>
        </w:rPr>
        <w:t xml:space="preserve">, when material, intentional falsification is identified, referral of the matter should be made to OPM. </w:t>
      </w:r>
    </w:p>
    <w:p w14:paraId="2C03B7B7" w14:textId="1B66626C" w:rsidR="002F006D" w:rsidRDefault="00FF7248" w:rsidP="00B457AC">
      <w:pPr>
        <w:rPr>
          <w:rFonts w:ascii="Source Sans Pro" w:eastAsia="Times New Roman" w:hAnsi="Source Sans Pro" w:cs="Arial"/>
          <w:spacing w:val="0"/>
          <w:sz w:val="23"/>
          <w:szCs w:val="23"/>
        </w:rPr>
      </w:pPr>
      <w:r w:rsidRPr="00BF48D4">
        <w:rPr>
          <w:rFonts w:eastAsia="Times New Roman" w:cs="Arial"/>
          <w:spacing w:val="0"/>
        </w:rPr>
        <w:t xml:space="preserve">Agencies take actions when OPM does not have authority to do so, such as when the position is not </w:t>
      </w:r>
      <w:r w:rsidRPr="64DB3116">
        <w:rPr>
          <w:rFonts w:eastAsia="Times New Roman" w:cs="Arial"/>
        </w:rPr>
        <w:t>covered</w:t>
      </w:r>
      <w:r w:rsidR="3465BD53" w:rsidRPr="64DB3116">
        <w:rPr>
          <w:rFonts w:eastAsia="Times New Roman" w:cs="Arial"/>
        </w:rPr>
        <w:t xml:space="preserve"> by the suitability rules</w:t>
      </w:r>
      <w:r w:rsidRPr="00BF48D4">
        <w:rPr>
          <w:rFonts w:eastAsia="Times New Roman" w:cs="Arial"/>
          <w:spacing w:val="0"/>
        </w:rPr>
        <w:t>, as defined in 5 C</w:t>
      </w:r>
      <w:r w:rsidR="00BF23AA">
        <w:rPr>
          <w:rFonts w:eastAsia="Times New Roman" w:cs="Arial"/>
          <w:spacing w:val="0"/>
        </w:rPr>
        <w:t>.</w:t>
      </w:r>
      <w:r w:rsidRPr="00BF48D4">
        <w:rPr>
          <w:rFonts w:eastAsia="Times New Roman" w:cs="Arial"/>
          <w:spacing w:val="0"/>
        </w:rPr>
        <w:t>F</w:t>
      </w:r>
      <w:r w:rsidR="00BF23AA">
        <w:rPr>
          <w:rFonts w:eastAsia="Times New Roman" w:cs="Arial"/>
          <w:spacing w:val="0"/>
        </w:rPr>
        <w:t>.</w:t>
      </w:r>
      <w:r w:rsidRPr="00BF48D4">
        <w:rPr>
          <w:rFonts w:eastAsia="Times New Roman" w:cs="Arial"/>
          <w:spacing w:val="0"/>
        </w:rPr>
        <w:t>R</w:t>
      </w:r>
      <w:r w:rsidR="00BF23AA">
        <w:rPr>
          <w:rFonts w:eastAsia="Times New Roman" w:cs="Arial"/>
          <w:spacing w:val="0"/>
        </w:rPr>
        <w:t>.</w:t>
      </w:r>
      <w:r w:rsidRPr="00BF48D4">
        <w:rPr>
          <w:rFonts w:eastAsia="Times New Roman" w:cs="Arial"/>
          <w:spacing w:val="0"/>
        </w:rPr>
        <w:t xml:space="preserve"> part 731, or the position is not subject-to-investigation, such as a transfer or promotion. In these situations, the agency can consider the following actions:</w:t>
      </w:r>
      <w:r w:rsidRPr="00804F31">
        <w:rPr>
          <w:rFonts w:ascii="Source Sans Pro" w:eastAsia="Times New Roman" w:hAnsi="Source Sans Pro" w:cs="Arial"/>
          <w:spacing w:val="0"/>
          <w:sz w:val="23"/>
          <w:szCs w:val="23"/>
        </w:rPr>
        <w:t xml:space="preserve"> </w:t>
      </w:r>
    </w:p>
    <w:p w14:paraId="37D95D57" w14:textId="76BB53F8" w:rsidR="256CBCAB" w:rsidRDefault="256CBCAB" w:rsidP="64DB3116">
      <w:pPr>
        <w:pStyle w:val="Heading5"/>
        <w:rPr>
          <w:rStyle w:val="Heading5Char"/>
          <w:b/>
          <w:bCs/>
        </w:rPr>
      </w:pPr>
      <w:r w:rsidRPr="64DB3116">
        <w:rPr>
          <w:rStyle w:val="Heading5Char"/>
          <w:b/>
          <w:bCs/>
        </w:rPr>
        <w:t>Falsification and Corrective Action Examples</w:t>
      </w:r>
    </w:p>
    <w:p w14:paraId="2F93C71F" w14:textId="7D61493C" w:rsidR="00A26CB4" w:rsidRPr="00741D83" w:rsidRDefault="00A26CB4" w:rsidP="00741D83">
      <w:pPr>
        <w:pStyle w:val="Heading5"/>
      </w:pPr>
      <w:r w:rsidRPr="64DB3116">
        <w:rPr>
          <w:rStyle w:val="Heading5Char"/>
          <w:b/>
          <w:bCs/>
        </w:rPr>
        <w:t>T</w:t>
      </w:r>
      <w:r w:rsidR="000B669C" w:rsidRPr="64DB3116">
        <w:rPr>
          <w:rStyle w:val="Heading5Char"/>
          <w:b/>
          <w:bCs/>
        </w:rPr>
        <w:t>able</w:t>
      </w:r>
      <w:r w:rsidRPr="64DB3116">
        <w:rPr>
          <w:rStyle w:val="Heading5Char"/>
          <w:b/>
          <w:bCs/>
        </w:rPr>
        <w:t xml:space="preserve"> </w:t>
      </w:r>
      <w:r>
        <w:t>1</w:t>
      </w:r>
      <w:r w:rsidR="001043BC">
        <w:t xml:space="preserve"> </w:t>
      </w:r>
      <w:r w:rsidR="000A33F6">
        <w:t>V</w:t>
      </w:r>
      <w: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0"/>
        <w:gridCol w:w="4680"/>
      </w:tblGrid>
      <w:tr w:rsidR="00FF7248" w:rsidRPr="00804F31" w14:paraId="154DD40C" w14:textId="77777777">
        <w:tc>
          <w:tcPr>
            <w:tcW w:w="6588" w:type="dxa"/>
            <w:shd w:val="clear" w:color="auto" w:fill="auto"/>
          </w:tcPr>
          <w:p w14:paraId="141346E1" w14:textId="77777777" w:rsidR="00FF7248" w:rsidRPr="002F006D" w:rsidRDefault="00FF7248">
            <w:pPr>
              <w:spacing w:after="0" w:line="240" w:lineRule="auto"/>
              <w:jc w:val="center"/>
              <w:rPr>
                <w:rFonts w:eastAsia="Times New Roman" w:cs="Calibri"/>
                <w:b/>
                <w:spacing w:val="0"/>
              </w:rPr>
            </w:pPr>
            <w:r w:rsidRPr="002F006D">
              <w:rPr>
                <w:rFonts w:eastAsia="Times New Roman" w:cs="Calibri"/>
                <w:b/>
                <w:spacing w:val="0"/>
              </w:rPr>
              <w:t>Diploma Mill Degree Claimed</w:t>
            </w:r>
          </w:p>
        </w:tc>
        <w:tc>
          <w:tcPr>
            <w:tcW w:w="6588" w:type="dxa"/>
            <w:shd w:val="clear" w:color="auto" w:fill="auto"/>
          </w:tcPr>
          <w:p w14:paraId="4292D04C" w14:textId="77777777" w:rsidR="00FF7248" w:rsidRPr="002F006D" w:rsidRDefault="00FF7248">
            <w:pPr>
              <w:spacing w:after="0" w:line="240" w:lineRule="auto"/>
              <w:jc w:val="center"/>
              <w:rPr>
                <w:rFonts w:eastAsia="Times New Roman" w:cs="Calibri"/>
                <w:b/>
                <w:spacing w:val="0"/>
              </w:rPr>
            </w:pPr>
            <w:r w:rsidRPr="002F006D">
              <w:rPr>
                <w:rFonts w:eastAsia="Times New Roman" w:cs="Calibri"/>
                <w:b/>
                <w:spacing w:val="0"/>
              </w:rPr>
              <w:t>Appropriate Corrective Action*</w:t>
            </w:r>
          </w:p>
        </w:tc>
      </w:tr>
      <w:tr w:rsidR="00FF7248" w:rsidRPr="00804F31" w14:paraId="6538A8B0" w14:textId="77777777">
        <w:tc>
          <w:tcPr>
            <w:tcW w:w="6588" w:type="dxa"/>
            <w:shd w:val="clear" w:color="auto" w:fill="auto"/>
          </w:tcPr>
          <w:p w14:paraId="65CC7B11" w14:textId="77777777" w:rsidR="00FF7248" w:rsidRPr="002F006D" w:rsidRDefault="00FF7248" w:rsidP="0026617A">
            <w:pPr>
              <w:spacing w:after="0"/>
              <w:rPr>
                <w:rFonts w:eastAsia="Times New Roman" w:cs="Calibri"/>
                <w:spacing w:val="0"/>
              </w:rPr>
            </w:pPr>
            <w:r w:rsidRPr="002F006D">
              <w:rPr>
                <w:rFonts w:eastAsia="Times New Roman" w:cs="Calibri"/>
                <w:spacing w:val="0"/>
              </w:rPr>
              <w:t>Individual did not necessarily intentionally falsify the application but is not qualified because the qualification determination was based on the diploma mill degree.</w:t>
            </w:r>
          </w:p>
        </w:tc>
        <w:tc>
          <w:tcPr>
            <w:tcW w:w="6588" w:type="dxa"/>
            <w:shd w:val="clear" w:color="auto" w:fill="auto"/>
          </w:tcPr>
          <w:p w14:paraId="709A298B" w14:textId="3637FB94" w:rsidR="00FF7248" w:rsidRPr="002F006D" w:rsidRDefault="00FF7248" w:rsidP="0026617A">
            <w:pPr>
              <w:spacing w:after="0"/>
              <w:rPr>
                <w:rFonts w:eastAsia="Times New Roman" w:cs="Calibri"/>
                <w:spacing w:val="0"/>
              </w:rPr>
            </w:pPr>
            <w:r w:rsidRPr="002F006D">
              <w:rPr>
                <w:rFonts w:eastAsia="Times New Roman" w:cs="Calibri"/>
                <w:spacing w:val="0"/>
              </w:rPr>
              <w:t>Refer to the procedures already in place for processing individuals who do not meet the qualification requirements for positions for which they apply. Advise the individual that the education claim should not be claimed in the future.</w:t>
            </w:r>
          </w:p>
        </w:tc>
      </w:tr>
      <w:tr w:rsidR="00FF7248" w:rsidRPr="00804F31" w14:paraId="273A9612" w14:textId="77777777">
        <w:tc>
          <w:tcPr>
            <w:tcW w:w="6588" w:type="dxa"/>
            <w:shd w:val="clear" w:color="auto" w:fill="auto"/>
          </w:tcPr>
          <w:p w14:paraId="49AC570E" w14:textId="77777777" w:rsidR="00FF7248" w:rsidRPr="002F006D" w:rsidRDefault="00FF7248" w:rsidP="0026617A">
            <w:pPr>
              <w:spacing w:after="0"/>
              <w:rPr>
                <w:rFonts w:eastAsia="Times New Roman" w:cs="Calibri"/>
                <w:spacing w:val="0"/>
              </w:rPr>
            </w:pPr>
            <w:r w:rsidRPr="002F006D">
              <w:rPr>
                <w:rFonts w:eastAsia="Times New Roman" w:cs="Calibri"/>
                <w:spacing w:val="0"/>
              </w:rPr>
              <w:t>Individual did not necessarily intentionally falsify the application but qualified without the claimed education.</w:t>
            </w:r>
          </w:p>
        </w:tc>
        <w:tc>
          <w:tcPr>
            <w:tcW w:w="6588" w:type="dxa"/>
            <w:shd w:val="clear" w:color="auto" w:fill="auto"/>
          </w:tcPr>
          <w:p w14:paraId="73949C3C" w14:textId="77777777" w:rsidR="00FF7248" w:rsidRPr="002F006D" w:rsidRDefault="00FF7248" w:rsidP="0026617A">
            <w:pPr>
              <w:spacing w:after="0"/>
              <w:rPr>
                <w:rFonts w:eastAsia="Times New Roman" w:cs="Calibri"/>
                <w:spacing w:val="0"/>
              </w:rPr>
            </w:pPr>
            <w:r w:rsidRPr="002F006D">
              <w:rPr>
                <w:rFonts w:eastAsia="Times New Roman" w:cs="Calibri"/>
                <w:spacing w:val="0"/>
              </w:rPr>
              <w:t>Advise the individual the education should not be claimed in the future.</w:t>
            </w:r>
          </w:p>
        </w:tc>
      </w:tr>
      <w:tr w:rsidR="00FF7248" w:rsidRPr="00804F31" w14:paraId="0E1DA18F" w14:textId="77777777">
        <w:tc>
          <w:tcPr>
            <w:tcW w:w="6588" w:type="dxa"/>
            <w:shd w:val="clear" w:color="auto" w:fill="auto"/>
          </w:tcPr>
          <w:p w14:paraId="0D9BF627" w14:textId="77777777" w:rsidR="00FF7248" w:rsidRPr="002F006D" w:rsidRDefault="00FF7248" w:rsidP="0026617A">
            <w:pPr>
              <w:spacing w:after="0"/>
              <w:rPr>
                <w:rFonts w:eastAsia="Times New Roman" w:cs="Calibri"/>
                <w:spacing w:val="0"/>
              </w:rPr>
            </w:pPr>
            <w:r w:rsidRPr="002F006D">
              <w:rPr>
                <w:rFonts w:eastAsia="Times New Roman" w:cs="Calibri"/>
                <w:spacing w:val="0"/>
              </w:rPr>
              <w:t>Individual intentionally falsified the application but qualified without the claimed education.</w:t>
            </w:r>
          </w:p>
        </w:tc>
        <w:tc>
          <w:tcPr>
            <w:tcW w:w="6588" w:type="dxa"/>
            <w:shd w:val="clear" w:color="auto" w:fill="auto"/>
          </w:tcPr>
          <w:p w14:paraId="333EDFD4" w14:textId="140E3BA1" w:rsidR="00FF7248" w:rsidRPr="002F006D" w:rsidRDefault="00FF7248" w:rsidP="0026617A">
            <w:pPr>
              <w:spacing w:after="0"/>
              <w:rPr>
                <w:rFonts w:eastAsia="Times New Roman" w:cs="Calibri"/>
                <w:spacing w:val="0"/>
              </w:rPr>
            </w:pPr>
            <w:r w:rsidRPr="002F006D">
              <w:rPr>
                <w:rFonts w:eastAsia="Times New Roman" w:cs="Calibri"/>
                <w:spacing w:val="0"/>
              </w:rPr>
              <w:t>Actions range from not hiring an applicant, reprimanding, suspending, reassignment, change to lower grade, or removing the employee. OPM recommends not hiring or removal. Also, advise the individual the education should not be claimed in the future.</w:t>
            </w:r>
          </w:p>
        </w:tc>
      </w:tr>
      <w:tr w:rsidR="00FF7248" w:rsidRPr="00804F31" w14:paraId="61843C11" w14:textId="77777777">
        <w:tc>
          <w:tcPr>
            <w:tcW w:w="6588" w:type="dxa"/>
            <w:shd w:val="clear" w:color="auto" w:fill="auto"/>
          </w:tcPr>
          <w:p w14:paraId="21CBA0C0" w14:textId="77777777" w:rsidR="00FF7248" w:rsidRPr="002F006D" w:rsidRDefault="00FF7248" w:rsidP="0026617A">
            <w:pPr>
              <w:spacing w:after="0"/>
              <w:rPr>
                <w:rFonts w:eastAsia="Times New Roman" w:cs="Calibri"/>
                <w:spacing w:val="0"/>
              </w:rPr>
            </w:pPr>
            <w:r w:rsidRPr="002F006D">
              <w:rPr>
                <w:rFonts w:eastAsia="Times New Roman" w:cs="Calibri"/>
                <w:spacing w:val="0"/>
              </w:rPr>
              <w:t>Intentional falsification is clearly established, and the education was needed to qualify.</w:t>
            </w:r>
          </w:p>
        </w:tc>
        <w:tc>
          <w:tcPr>
            <w:tcW w:w="6588" w:type="dxa"/>
            <w:shd w:val="clear" w:color="auto" w:fill="auto"/>
          </w:tcPr>
          <w:p w14:paraId="1BE2A943" w14:textId="4CADEC22" w:rsidR="00FF7248" w:rsidRPr="002F006D" w:rsidRDefault="00FF7248" w:rsidP="0026617A">
            <w:pPr>
              <w:spacing w:after="0"/>
              <w:rPr>
                <w:rFonts w:eastAsia="Times New Roman" w:cs="Calibri"/>
                <w:spacing w:val="0"/>
              </w:rPr>
            </w:pPr>
            <w:r w:rsidRPr="002F006D">
              <w:rPr>
                <w:rFonts w:eastAsia="Times New Roman" w:cs="Calibri"/>
                <w:spacing w:val="0"/>
              </w:rPr>
              <w:t>Actions range from not hiring an applicant, reassignment, change to lower grade, or removing the employee. OPM recommends not hiring or removal. Also, advise the individual the education should not be claimed in the future.</w:t>
            </w:r>
          </w:p>
        </w:tc>
      </w:tr>
    </w:tbl>
    <w:p w14:paraId="29013204" w14:textId="5C9E998B" w:rsidR="00FF7248" w:rsidRPr="002F006D" w:rsidRDefault="00FF7248" w:rsidP="00F100EB">
      <w:pPr>
        <w:spacing w:before="120" w:line="240" w:lineRule="auto"/>
        <w:rPr>
          <w:rFonts w:eastAsia="Times New Roman" w:cs="Calibri"/>
          <w:i/>
          <w:spacing w:val="0"/>
          <w:sz w:val="18"/>
          <w:szCs w:val="18"/>
        </w:rPr>
      </w:pPr>
      <w:r w:rsidRPr="002F006D">
        <w:rPr>
          <w:rFonts w:eastAsia="Times New Roman" w:cs="Calibri"/>
          <w:spacing w:val="0"/>
          <w:sz w:val="18"/>
          <w:szCs w:val="18"/>
        </w:rPr>
        <w:t>*</w:t>
      </w:r>
      <w:r w:rsidRPr="002F006D">
        <w:rPr>
          <w:rFonts w:eastAsia="Times New Roman" w:cs="Calibri"/>
          <w:i/>
          <w:spacing w:val="0"/>
          <w:sz w:val="18"/>
          <w:szCs w:val="18"/>
        </w:rPr>
        <w:t xml:space="preserve">When it is </w:t>
      </w:r>
      <w:r w:rsidR="0070152C" w:rsidRPr="002F006D">
        <w:rPr>
          <w:rFonts w:eastAsia="Times New Roman" w:cs="Calibri"/>
          <w:i/>
          <w:spacing w:val="0"/>
          <w:sz w:val="18"/>
          <w:szCs w:val="18"/>
        </w:rPr>
        <w:t>established</w:t>
      </w:r>
      <w:r w:rsidR="000D751A">
        <w:rPr>
          <w:rFonts w:eastAsia="Times New Roman" w:cs="Calibri"/>
          <w:i/>
          <w:spacing w:val="0"/>
          <w:sz w:val="18"/>
          <w:szCs w:val="18"/>
        </w:rPr>
        <w:t xml:space="preserve"> that</w:t>
      </w:r>
      <w:r w:rsidRPr="002F006D">
        <w:rPr>
          <w:rFonts w:eastAsia="Times New Roman" w:cs="Calibri"/>
          <w:i/>
          <w:spacing w:val="0"/>
          <w:sz w:val="18"/>
          <w:szCs w:val="18"/>
        </w:rPr>
        <w:t xml:space="preserve"> the individual knowingly claimed a diploma mill degree, not hiring the applicant or removing the employee is generally the appropriate action since the individual’s actions were both dishonest and an attempt to violate the merit system.</w:t>
      </w:r>
    </w:p>
    <w:p w14:paraId="4EADC604" w14:textId="4F9B962E" w:rsidR="00FF7248" w:rsidRPr="002F006D" w:rsidRDefault="00FF7248" w:rsidP="00F100EB">
      <w:pPr>
        <w:spacing w:after="60"/>
        <w:rPr>
          <w:rFonts w:eastAsia="Calibri" w:cs="Times New Roman"/>
          <w:spacing w:val="0"/>
        </w:rPr>
      </w:pPr>
      <w:r w:rsidRPr="002F006D">
        <w:rPr>
          <w:rFonts w:eastAsia="Calibri" w:cs="Times New Roman"/>
          <w:spacing w:val="0"/>
        </w:rPr>
        <w:t>Agencies should consider the following whenever they detect diploma mill degree claims and need to decide upon the appropriate response:</w:t>
      </w:r>
    </w:p>
    <w:p w14:paraId="7B9255AD" w14:textId="77777777" w:rsidR="00FF7248" w:rsidRPr="002F006D" w:rsidRDefault="00FF7248" w:rsidP="00A06D8B">
      <w:pPr>
        <w:numPr>
          <w:ilvl w:val="0"/>
          <w:numId w:val="53"/>
        </w:numPr>
        <w:spacing w:after="0"/>
        <w:rPr>
          <w:rFonts w:eastAsia="Calibri" w:cs="Times New Roman"/>
          <w:spacing w:val="0"/>
        </w:rPr>
      </w:pPr>
      <w:r w:rsidRPr="002F006D">
        <w:rPr>
          <w:rFonts w:eastAsia="Calibri" w:cs="Times New Roman"/>
          <w:spacing w:val="0"/>
        </w:rPr>
        <w:t>Individuals who know a degree is fraudulent yet intentionally misrepresent their educational qualification and credentials in the hope of gaining an unfair advantage over others for jobs, promotions, reassignment, or other forms of advancement, lack trustworthiness and integrity, and attempt to violate the merit system.</w:t>
      </w:r>
    </w:p>
    <w:p w14:paraId="36EA32C9" w14:textId="2EE62281" w:rsidR="00FF7248" w:rsidRPr="002F006D" w:rsidRDefault="00FF7248" w:rsidP="00A06D8B">
      <w:pPr>
        <w:numPr>
          <w:ilvl w:val="0"/>
          <w:numId w:val="53"/>
        </w:numPr>
        <w:rPr>
          <w:rFonts w:eastAsia="Calibri" w:cs="Times New Roman"/>
          <w:spacing w:val="0"/>
        </w:rPr>
      </w:pPr>
      <w:r w:rsidRPr="002F006D">
        <w:rPr>
          <w:rFonts w:eastAsia="Calibri" w:cs="Times New Roman"/>
          <w:spacing w:val="0"/>
        </w:rPr>
        <w:lastRenderedPageBreak/>
        <w:t>When the individuals hold a security clearance or a responsible position, such as a Public Trust position, where standards of trustworthiness and integrity are particularly high, agencies may seriously consider whether that person should continue to hold a security clearance or remain in the position even when the diploma mill degree claimed was not material in the initial employment decision.</w:t>
      </w:r>
    </w:p>
    <w:p w14:paraId="29BEEDA0" w14:textId="14952EE2" w:rsidR="00FF7248" w:rsidRPr="002F006D" w:rsidRDefault="00FF7248" w:rsidP="00A1014F">
      <w:pPr>
        <w:ind w:left="360"/>
        <w:rPr>
          <w:rFonts w:eastAsia="Calibri" w:cs="Times New Roman"/>
          <w:spacing w:val="0"/>
        </w:rPr>
      </w:pPr>
      <w:r w:rsidRPr="002F006D">
        <w:rPr>
          <w:rFonts w:eastAsia="Calibri" w:cs="Times New Roman"/>
          <w:b/>
          <w:spacing w:val="0"/>
        </w:rPr>
        <w:t xml:space="preserve">NOTE: </w:t>
      </w:r>
      <w:r w:rsidRPr="002F006D">
        <w:rPr>
          <w:rFonts w:eastAsia="Calibri" w:cs="Times New Roman"/>
          <w:i/>
          <w:spacing w:val="0"/>
        </w:rPr>
        <w:t xml:space="preserve">Under 18 U.S.C. </w:t>
      </w:r>
      <w:r w:rsidR="009B4CE5">
        <w:rPr>
          <w:rFonts w:eastAsia="Calibri" w:cs="Times New Roman"/>
          <w:i/>
          <w:spacing w:val="0"/>
        </w:rPr>
        <w:t xml:space="preserve">section </w:t>
      </w:r>
      <w:r w:rsidRPr="002F006D">
        <w:rPr>
          <w:rFonts w:eastAsia="Calibri" w:cs="Times New Roman"/>
          <w:i/>
          <w:spacing w:val="0"/>
        </w:rPr>
        <w:t>1001, a material, intentional false statement on any part of the application may be punished by fine or imprisonment.</w:t>
      </w:r>
    </w:p>
    <w:p w14:paraId="1CAEE925" w14:textId="38DA29BB" w:rsidR="00FF7248" w:rsidRPr="00804F31" w:rsidRDefault="00FF7248" w:rsidP="009F703E">
      <w:pPr>
        <w:pStyle w:val="Heading5"/>
      </w:pPr>
      <w:bookmarkStart w:id="64" w:name="_Red_Flags_of"/>
      <w:bookmarkEnd w:id="64"/>
      <w:r w:rsidRPr="00804F31">
        <w:t xml:space="preserve">Red Flags of </w:t>
      </w:r>
      <w:bookmarkStart w:id="65" w:name="FraudEdCreds"/>
      <w:r w:rsidRPr="00804F31">
        <w:t>Fraudulent Education Credentials</w:t>
      </w:r>
      <w:bookmarkEnd w:id="65"/>
    </w:p>
    <w:p w14:paraId="7D32F7FF" w14:textId="2233905F" w:rsidR="00FF7248" w:rsidRPr="00EF62C9" w:rsidRDefault="00FF7248" w:rsidP="00A1014F">
      <w:pPr>
        <w:rPr>
          <w:rFonts w:eastAsia="Times New Roman" w:cs="Calibri"/>
          <w:spacing w:val="0"/>
        </w:rPr>
      </w:pPr>
      <w:r w:rsidRPr="00EF62C9">
        <w:rPr>
          <w:rFonts w:eastAsia="Times New Roman" w:cs="Calibri"/>
          <w:spacing w:val="0"/>
        </w:rPr>
        <w:t xml:space="preserve">The following “red flags” may signal a diploma mill. Check the school’s website or catalog, the application or investigation forms, or the results of the background investigation for these “red flags.” They may show the individual claiming the degree was aware the degree was associated with a diploma mill institution. </w:t>
      </w:r>
    </w:p>
    <w:p w14:paraId="2760DD63" w14:textId="77777777" w:rsidR="00FF7248" w:rsidRPr="00EF62C9" w:rsidRDefault="00FF7248" w:rsidP="00A1014F">
      <w:pPr>
        <w:spacing w:after="0"/>
        <w:rPr>
          <w:rFonts w:eastAsia="Times New Roman" w:cs="Calibri"/>
          <w:spacing w:val="0"/>
          <w:u w:val="single"/>
        </w:rPr>
      </w:pPr>
      <w:r w:rsidRPr="00EF62C9">
        <w:rPr>
          <w:rFonts w:eastAsia="Times New Roman" w:cs="Calibri"/>
          <w:spacing w:val="0"/>
          <w:u w:val="single"/>
        </w:rPr>
        <w:t>The Name and Location of the School</w:t>
      </w:r>
    </w:p>
    <w:p w14:paraId="4A19DA3C" w14:textId="77777777" w:rsidR="00FF7248" w:rsidRPr="00EF62C9" w:rsidRDefault="00FF7248" w:rsidP="00A06D8B">
      <w:pPr>
        <w:numPr>
          <w:ilvl w:val="0"/>
          <w:numId w:val="54"/>
        </w:numPr>
        <w:spacing w:after="0"/>
        <w:rPr>
          <w:rFonts w:eastAsia="Calibri" w:cs="Calibri"/>
          <w:spacing w:val="0"/>
        </w:rPr>
      </w:pPr>
      <w:r w:rsidRPr="00EF62C9">
        <w:rPr>
          <w:rFonts w:eastAsia="Calibri" w:cs="Calibri"/>
          <w:spacing w:val="0"/>
        </w:rPr>
        <w:t>Name is the same as, or similar to, a well-known college or university but in a different location</w:t>
      </w:r>
    </w:p>
    <w:p w14:paraId="5CD5FD45" w14:textId="77777777" w:rsidR="00FF7248" w:rsidRPr="00EF62C9" w:rsidRDefault="00FF7248" w:rsidP="00A06D8B">
      <w:pPr>
        <w:numPr>
          <w:ilvl w:val="0"/>
          <w:numId w:val="54"/>
        </w:numPr>
        <w:spacing w:after="0"/>
        <w:rPr>
          <w:rFonts w:eastAsia="Calibri" w:cs="Calibri"/>
          <w:spacing w:val="0"/>
        </w:rPr>
      </w:pPr>
      <w:r w:rsidRPr="00EF62C9">
        <w:rPr>
          <w:rFonts w:eastAsia="Calibri" w:cs="Calibri"/>
          <w:spacing w:val="0"/>
        </w:rPr>
        <w:t>Operating in a state with few or no education licensing laws</w:t>
      </w:r>
    </w:p>
    <w:p w14:paraId="1862393A" w14:textId="77777777" w:rsidR="00FF7248" w:rsidRPr="00EF62C9" w:rsidRDefault="00FF7248" w:rsidP="00A06D8B">
      <w:pPr>
        <w:numPr>
          <w:ilvl w:val="0"/>
          <w:numId w:val="54"/>
        </w:numPr>
        <w:spacing w:after="0"/>
        <w:rPr>
          <w:rFonts w:eastAsia="Calibri" w:cs="Calibri"/>
          <w:spacing w:val="0"/>
        </w:rPr>
      </w:pPr>
      <w:r w:rsidRPr="00EF62C9">
        <w:rPr>
          <w:rFonts w:eastAsia="Calibri" w:cs="Calibri"/>
          <w:spacing w:val="0"/>
        </w:rPr>
        <w:t>Existed for only a short time or previously existed under another name</w:t>
      </w:r>
    </w:p>
    <w:p w14:paraId="0B3A34E6" w14:textId="77777777" w:rsidR="00FF7248" w:rsidRPr="00EF62C9" w:rsidRDefault="00FF7248" w:rsidP="00A06D8B">
      <w:pPr>
        <w:numPr>
          <w:ilvl w:val="0"/>
          <w:numId w:val="54"/>
        </w:numPr>
        <w:spacing w:after="0"/>
        <w:rPr>
          <w:rFonts w:eastAsia="Calibri" w:cs="Calibri"/>
          <w:spacing w:val="0"/>
        </w:rPr>
      </w:pPr>
      <w:r w:rsidRPr="00EF62C9">
        <w:rPr>
          <w:rFonts w:eastAsia="Calibri" w:cs="Calibri"/>
          <w:spacing w:val="0"/>
        </w:rPr>
        <w:t>Operates from a single room in a private home or office in a commercial building</w:t>
      </w:r>
    </w:p>
    <w:p w14:paraId="530C1254" w14:textId="77777777" w:rsidR="00FF7248" w:rsidRPr="00EF62C9" w:rsidRDefault="00FF7248" w:rsidP="00A06D8B">
      <w:pPr>
        <w:numPr>
          <w:ilvl w:val="0"/>
          <w:numId w:val="54"/>
        </w:numPr>
        <w:spacing w:after="0"/>
        <w:rPr>
          <w:rFonts w:eastAsia="Calibri" w:cs="Calibri"/>
          <w:spacing w:val="0"/>
        </w:rPr>
      </w:pPr>
      <w:r w:rsidRPr="00EF62C9">
        <w:rPr>
          <w:rFonts w:eastAsia="Calibri" w:cs="Calibri"/>
          <w:spacing w:val="0"/>
        </w:rPr>
        <w:t>Mail is received at a postal box or mail-forwarding service</w:t>
      </w:r>
    </w:p>
    <w:p w14:paraId="1127F1E4" w14:textId="77777777" w:rsidR="00FF7248" w:rsidRPr="00EF62C9" w:rsidRDefault="00FF7248" w:rsidP="00A06D8B">
      <w:pPr>
        <w:numPr>
          <w:ilvl w:val="0"/>
          <w:numId w:val="54"/>
        </w:numPr>
        <w:spacing w:after="0"/>
        <w:rPr>
          <w:rFonts w:eastAsia="Calibri" w:cs="Calibri"/>
          <w:spacing w:val="0"/>
        </w:rPr>
      </w:pPr>
      <w:r w:rsidRPr="00EF62C9">
        <w:rPr>
          <w:rFonts w:eastAsia="Calibri" w:cs="Calibri"/>
          <w:spacing w:val="0"/>
        </w:rPr>
        <w:t>Postmark and return address from different states</w:t>
      </w:r>
    </w:p>
    <w:p w14:paraId="44777558" w14:textId="77777777" w:rsidR="00FF7248" w:rsidRPr="00EF62C9" w:rsidRDefault="00FF7248" w:rsidP="00A06D8B">
      <w:pPr>
        <w:numPr>
          <w:ilvl w:val="0"/>
          <w:numId w:val="54"/>
        </w:numPr>
        <w:spacing w:after="0"/>
        <w:rPr>
          <w:rFonts w:eastAsia="Calibri" w:cs="Calibri"/>
          <w:spacing w:val="0"/>
        </w:rPr>
      </w:pPr>
      <w:r w:rsidRPr="00EF62C9">
        <w:rPr>
          <w:rFonts w:eastAsia="Calibri" w:cs="Calibri"/>
          <w:spacing w:val="0"/>
        </w:rPr>
        <w:t>Operates online from foreign locations</w:t>
      </w:r>
    </w:p>
    <w:p w14:paraId="35DD8FAE" w14:textId="77777777" w:rsidR="00FF7248" w:rsidRPr="00EF62C9" w:rsidRDefault="00FF7248" w:rsidP="00A1014F">
      <w:pPr>
        <w:spacing w:after="0"/>
        <w:rPr>
          <w:rFonts w:eastAsia="Times New Roman" w:cs="Calibri"/>
          <w:spacing w:val="0"/>
        </w:rPr>
      </w:pPr>
      <w:r w:rsidRPr="00EF62C9">
        <w:rPr>
          <w:rFonts w:eastAsia="Times New Roman" w:cs="Calibri"/>
          <w:spacing w:val="0"/>
          <w:u w:val="single"/>
        </w:rPr>
        <w:t>The Accreditation of the School</w:t>
      </w:r>
    </w:p>
    <w:p w14:paraId="0FDDD078" w14:textId="77777777" w:rsidR="00FF7248" w:rsidRPr="00EF62C9" w:rsidRDefault="00FF7248" w:rsidP="00A06D8B">
      <w:pPr>
        <w:numPr>
          <w:ilvl w:val="0"/>
          <w:numId w:val="55"/>
        </w:numPr>
        <w:spacing w:after="0"/>
        <w:rPr>
          <w:rFonts w:eastAsia="Calibri" w:cs="Calibri"/>
          <w:spacing w:val="0"/>
        </w:rPr>
      </w:pPr>
      <w:r w:rsidRPr="00EF62C9">
        <w:rPr>
          <w:rFonts w:eastAsia="Calibri" w:cs="Calibri"/>
          <w:spacing w:val="0"/>
        </w:rPr>
        <w:t>Not accredited by a legitimate accrediting institution recognized by the U.S. Department of Education</w:t>
      </w:r>
    </w:p>
    <w:p w14:paraId="4B933F4B" w14:textId="77777777" w:rsidR="00FF7248" w:rsidRPr="00EF62C9" w:rsidRDefault="00FF7248" w:rsidP="00A06D8B">
      <w:pPr>
        <w:numPr>
          <w:ilvl w:val="0"/>
          <w:numId w:val="55"/>
        </w:numPr>
        <w:spacing w:after="0"/>
        <w:rPr>
          <w:rFonts w:eastAsia="Calibri" w:cs="Calibri"/>
          <w:spacing w:val="0"/>
        </w:rPr>
      </w:pPr>
      <w:r w:rsidRPr="00EF62C9">
        <w:rPr>
          <w:rFonts w:eastAsia="Calibri" w:cs="Calibri"/>
          <w:spacing w:val="0"/>
        </w:rPr>
        <w:t>Non-recognized accrediting agency may be connected to the school</w:t>
      </w:r>
    </w:p>
    <w:p w14:paraId="6AF006D2" w14:textId="77777777" w:rsidR="00FF7248" w:rsidRPr="00EF62C9" w:rsidRDefault="00FF7248" w:rsidP="00A06D8B">
      <w:pPr>
        <w:numPr>
          <w:ilvl w:val="0"/>
          <w:numId w:val="55"/>
        </w:numPr>
        <w:spacing w:after="0"/>
        <w:rPr>
          <w:rFonts w:eastAsia="Calibri" w:cs="Calibri"/>
          <w:spacing w:val="0"/>
        </w:rPr>
      </w:pPr>
      <w:r w:rsidRPr="00EF62C9">
        <w:rPr>
          <w:rFonts w:eastAsia="Calibri" w:cs="Calibri"/>
          <w:spacing w:val="0"/>
        </w:rPr>
        <w:t>Instead of saying the school is accredited, uses words like pursuing accreditation, licensed, authorized, (state) approved, recognized, chartered</w:t>
      </w:r>
    </w:p>
    <w:p w14:paraId="154299AE" w14:textId="77777777" w:rsidR="00FF7248" w:rsidRPr="00EF62C9" w:rsidRDefault="00FF7248" w:rsidP="00A06D8B">
      <w:pPr>
        <w:numPr>
          <w:ilvl w:val="0"/>
          <w:numId w:val="55"/>
        </w:numPr>
        <w:spacing w:after="0"/>
        <w:rPr>
          <w:rFonts w:eastAsia="Calibri" w:cs="Calibri"/>
          <w:spacing w:val="0"/>
        </w:rPr>
      </w:pPr>
      <w:r w:rsidRPr="00EF62C9">
        <w:rPr>
          <w:rFonts w:eastAsia="Calibri" w:cs="Calibri"/>
          <w:spacing w:val="0"/>
        </w:rPr>
        <w:t>Legitimate institutions in the same area, when asked, would not accept transfer credits from the school</w:t>
      </w:r>
    </w:p>
    <w:p w14:paraId="370E7790" w14:textId="77777777" w:rsidR="00FF7248" w:rsidRPr="00EF62C9" w:rsidRDefault="00FF7248" w:rsidP="00A1014F">
      <w:pPr>
        <w:spacing w:after="0"/>
        <w:rPr>
          <w:rFonts w:eastAsia="Times New Roman" w:cs="Calibri"/>
          <w:spacing w:val="0"/>
        </w:rPr>
      </w:pPr>
      <w:r w:rsidRPr="00EF62C9">
        <w:rPr>
          <w:rFonts w:eastAsia="Times New Roman" w:cs="Calibri"/>
          <w:spacing w:val="0"/>
          <w:u w:val="single"/>
        </w:rPr>
        <w:t>The Faculty and Staff of the School</w:t>
      </w:r>
    </w:p>
    <w:p w14:paraId="410D9080" w14:textId="77777777" w:rsidR="00FF7248" w:rsidRPr="00EF62C9" w:rsidRDefault="00FF7248" w:rsidP="00A06D8B">
      <w:pPr>
        <w:numPr>
          <w:ilvl w:val="0"/>
          <w:numId w:val="56"/>
        </w:numPr>
        <w:spacing w:after="0"/>
        <w:rPr>
          <w:rFonts w:eastAsia="Calibri" w:cs="Calibri"/>
          <w:spacing w:val="0"/>
        </w:rPr>
      </w:pPr>
      <w:r w:rsidRPr="00EF62C9">
        <w:rPr>
          <w:rFonts w:eastAsia="Calibri" w:cs="Calibri"/>
          <w:spacing w:val="0"/>
        </w:rPr>
        <w:t>Few, if any, full-time staff</w:t>
      </w:r>
    </w:p>
    <w:p w14:paraId="406D5963" w14:textId="77777777" w:rsidR="00FF7248" w:rsidRPr="00EF62C9" w:rsidRDefault="00FF7248" w:rsidP="00A06D8B">
      <w:pPr>
        <w:numPr>
          <w:ilvl w:val="0"/>
          <w:numId w:val="56"/>
        </w:numPr>
        <w:spacing w:after="0"/>
        <w:rPr>
          <w:rFonts w:eastAsia="Calibri" w:cs="Calibri"/>
          <w:spacing w:val="0"/>
        </w:rPr>
      </w:pPr>
      <w:r w:rsidRPr="00EF62C9">
        <w:rPr>
          <w:rFonts w:eastAsia="Calibri" w:cs="Calibri"/>
          <w:spacing w:val="0"/>
        </w:rPr>
        <w:t>Wide variety of functions performed by one person</w:t>
      </w:r>
    </w:p>
    <w:p w14:paraId="3E0B1178" w14:textId="77777777" w:rsidR="00FF7248" w:rsidRPr="00EF62C9" w:rsidRDefault="00FF7248" w:rsidP="00A06D8B">
      <w:pPr>
        <w:numPr>
          <w:ilvl w:val="0"/>
          <w:numId w:val="56"/>
        </w:numPr>
        <w:spacing w:after="0"/>
        <w:rPr>
          <w:rFonts w:eastAsia="Calibri" w:cs="Calibri"/>
          <w:spacing w:val="0"/>
        </w:rPr>
      </w:pPr>
      <w:r w:rsidRPr="00EF62C9">
        <w:rPr>
          <w:rFonts w:eastAsia="Calibri" w:cs="Calibri"/>
          <w:spacing w:val="0"/>
        </w:rPr>
        <w:t>Faculty lacks advanced degrees from recognized college or university</w:t>
      </w:r>
    </w:p>
    <w:p w14:paraId="49A9EEA7" w14:textId="77777777" w:rsidR="00FF7248" w:rsidRPr="00EF62C9" w:rsidRDefault="00FF7248" w:rsidP="00A06D8B">
      <w:pPr>
        <w:numPr>
          <w:ilvl w:val="0"/>
          <w:numId w:val="56"/>
        </w:numPr>
        <w:spacing w:after="0"/>
        <w:rPr>
          <w:rFonts w:eastAsia="Calibri" w:cs="Calibri"/>
          <w:spacing w:val="0"/>
        </w:rPr>
      </w:pPr>
      <w:r w:rsidRPr="00EF62C9">
        <w:rPr>
          <w:rFonts w:eastAsia="Calibri" w:cs="Calibri"/>
          <w:spacing w:val="0"/>
        </w:rPr>
        <w:t>Part-time staff used to provide instructions or academic services</w:t>
      </w:r>
    </w:p>
    <w:p w14:paraId="17355024" w14:textId="77777777" w:rsidR="00FF7248" w:rsidRPr="00EF62C9" w:rsidRDefault="00FF7248" w:rsidP="00A06D8B">
      <w:pPr>
        <w:numPr>
          <w:ilvl w:val="0"/>
          <w:numId w:val="56"/>
        </w:numPr>
        <w:spacing w:after="0"/>
        <w:rPr>
          <w:rFonts w:eastAsia="Calibri" w:cs="Calibri"/>
          <w:spacing w:val="0"/>
        </w:rPr>
      </w:pPr>
      <w:r w:rsidRPr="00EF62C9">
        <w:rPr>
          <w:rFonts w:eastAsia="Calibri" w:cs="Calibri"/>
          <w:spacing w:val="0"/>
        </w:rPr>
        <w:t>Faculty not listed in catalog</w:t>
      </w:r>
    </w:p>
    <w:p w14:paraId="735035E3" w14:textId="77777777" w:rsidR="00FF7248" w:rsidRPr="00EF62C9" w:rsidRDefault="00FF7248" w:rsidP="00A06D8B">
      <w:pPr>
        <w:numPr>
          <w:ilvl w:val="0"/>
          <w:numId w:val="56"/>
        </w:numPr>
        <w:spacing w:after="0"/>
        <w:rPr>
          <w:rFonts w:eastAsia="Calibri" w:cs="Calibri"/>
          <w:spacing w:val="0"/>
        </w:rPr>
      </w:pPr>
      <w:r w:rsidRPr="00EF62C9">
        <w:rPr>
          <w:rFonts w:eastAsia="Calibri" w:cs="Calibri"/>
          <w:spacing w:val="0"/>
        </w:rPr>
        <w:t>Preoccupation with degree-identification (long list of degrees follow the name of officials)</w:t>
      </w:r>
    </w:p>
    <w:p w14:paraId="67304A3C" w14:textId="77777777" w:rsidR="00FF7248" w:rsidRPr="00EF62C9" w:rsidRDefault="00FF7248" w:rsidP="00A1014F">
      <w:pPr>
        <w:spacing w:after="0"/>
        <w:rPr>
          <w:rFonts w:eastAsia="Times New Roman" w:cs="Calibri"/>
          <w:spacing w:val="0"/>
          <w:u w:val="single"/>
        </w:rPr>
      </w:pPr>
      <w:r w:rsidRPr="00EF62C9">
        <w:rPr>
          <w:rFonts w:eastAsia="Times New Roman" w:cs="Calibri"/>
          <w:spacing w:val="0"/>
          <w:u w:val="single"/>
        </w:rPr>
        <w:t>Admission Policy and Cost</w:t>
      </w:r>
    </w:p>
    <w:p w14:paraId="429CDAE7" w14:textId="77777777" w:rsidR="00FF7248" w:rsidRPr="00EF62C9" w:rsidRDefault="00FF7248" w:rsidP="00A06D8B">
      <w:pPr>
        <w:numPr>
          <w:ilvl w:val="0"/>
          <w:numId w:val="57"/>
        </w:numPr>
        <w:spacing w:after="0"/>
        <w:rPr>
          <w:rFonts w:eastAsia="Calibri" w:cs="Calibri"/>
          <w:spacing w:val="0"/>
        </w:rPr>
      </w:pPr>
      <w:r w:rsidRPr="00EF62C9">
        <w:rPr>
          <w:rFonts w:eastAsia="Calibri" w:cs="Calibri"/>
          <w:spacing w:val="0"/>
        </w:rPr>
        <w:t>Little or no selectivity in admission policy</w:t>
      </w:r>
    </w:p>
    <w:p w14:paraId="1686BA78" w14:textId="77777777" w:rsidR="00FF7248" w:rsidRPr="00EF62C9" w:rsidRDefault="00FF7248" w:rsidP="00A06D8B">
      <w:pPr>
        <w:numPr>
          <w:ilvl w:val="0"/>
          <w:numId w:val="57"/>
        </w:numPr>
        <w:spacing w:after="0"/>
        <w:rPr>
          <w:rFonts w:eastAsia="Calibri" w:cs="Calibri"/>
          <w:spacing w:val="0"/>
        </w:rPr>
      </w:pPr>
      <w:r w:rsidRPr="00EF62C9">
        <w:rPr>
          <w:rFonts w:eastAsia="Calibri" w:cs="Calibri"/>
          <w:spacing w:val="0"/>
        </w:rPr>
        <w:t>Offers “finder’s fee” for new students</w:t>
      </w:r>
    </w:p>
    <w:p w14:paraId="49AC4C4F" w14:textId="77777777" w:rsidR="00FF7248" w:rsidRPr="00EF62C9" w:rsidRDefault="00FF7248" w:rsidP="00A06D8B">
      <w:pPr>
        <w:numPr>
          <w:ilvl w:val="0"/>
          <w:numId w:val="57"/>
        </w:numPr>
        <w:spacing w:after="0"/>
        <w:rPr>
          <w:rFonts w:eastAsia="Calibri" w:cs="Calibri"/>
          <w:spacing w:val="0"/>
        </w:rPr>
      </w:pPr>
      <w:r w:rsidRPr="00EF62C9">
        <w:rPr>
          <w:rFonts w:eastAsia="Calibri" w:cs="Calibri"/>
          <w:spacing w:val="0"/>
        </w:rPr>
        <w:lastRenderedPageBreak/>
        <w:t>Offers discounts for students who pay cash</w:t>
      </w:r>
    </w:p>
    <w:p w14:paraId="71F84DCF" w14:textId="77777777" w:rsidR="00FF7248" w:rsidRPr="00EF62C9" w:rsidRDefault="00FF7248" w:rsidP="00A06D8B">
      <w:pPr>
        <w:numPr>
          <w:ilvl w:val="0"/>
          <w:numId w:val="57"/>
        </w:numPr>
        <w:spacing w:after="0"/>
        <w:rPr>
          <w:rFonts w:eastAsia="Calibri" w:cs="Calibri"/>
          <w:spacing w:val="0"/>
        </w:rPr>
      </w:pPr>
      <w:r w:rsidRPr="00EF62C9">
        <w:rPr>
          <w:rFonts w:eastAsia="Calibri" w:cs="Calibri"/>
          <w:spacing w:val="0"/>
        </w:rPr>
        <w:t>Tuition and fees are typically on a per-degree basis rather than a per-semester, per-quarter, or per-course basis</w:t>
      </w:r>
    </w:p>
    <w:p w14:paraId="5DCDF99B" w14:textId="77777777" w:rsidR="00FF7248" w:rsidRPr="00EF62C9" w:rsidRDefault="00FF7248" w:rsidP="00A1014F">
      <w:pPr>
        <w:spacing w:after="0"/>
        <w:rPr>
          <w:rFonts w:eastAsia="Times New Roman" w:cs="Calibri"/>
          <w:spacing w:val="0"/>
          <w:u w:val="single"/>
        </w:rPr>
      </w:pPr>
      <w:r w:rsidRPr="00EF62C9">
        <w:rPr>
          <w:rFonts w:eastAsia="Times New Roman" w:cs="Calibri"/>
          <w:spacing w:val="0"/>
          <w:u w:val="single"/>
        </w:rPr>
        <w:t>The Degree and Transcript</w:t>
      </w:r>
    </w:p>
    <w:p w14:paraId="41ED8F71" w14:textId="77777777" w:rsidR="00FF7248" w:rsidRPr="00EF62C9" w:rsidRDefault="00FF7248" w:rsidP="00A06D8B">
      <w:pPr>
        <w:numPr>
          <w:ilvl w:val="0"/>
          <w:numId w:val="58"/>
        </w:numPr>
        <w:spacing w:after="0"/>
        <w:rPr>
          <w:rFonts w:eastAsia="Calibri" w:cs="Calibri"/>
          <w:spacing w:val="0"/>
        </w:rPr>
      </w:pPr>
      <w:r w:rsidRPr="00EF62C9">
        <w:rPr>
          <w:rFonts w:eastAsia="Calibri" w:cs="Calibri"/>
          <w:spacing w:val="0"/>
        </w:rPr>
        <w:t>Few, if any, or unspecified degree requirements</w:t>
      </w:r>
    </w:p>
    <w:p w14:paraId="51A4BD9D" w14:textId="77777777" w:rsidR="00FF7248" w:rsidRPr="00EF62C9" w:rsidRDefault="00FF7248" w:rsidP="00A06D8B">
      <w:pPr>
        <w:numPr>
          <w:ilvl w:val="0"/>
          <w:numId w:val="58"/>
        </w:numPr>
        <w:spacing w:after="0"/>
        <w:rPr>
          <w:rFonts w:eastAsia="Calibri" w:cs="Calibri"/>
          <w:spacing w:val="0"/>
        </w:rPr>
      </w:pPr>
      <w:r w:rsidRPr="00EF62C9">
        <w:rPr>
          <w:rFonts w:eastAsia="Calibri" w:cs="Calibri"/>
          <w:spacing w:val="0"/>
        </w:rPr>
        <w:t>Degrees or credits based solely on work life experience or with little coursework</w:t>
      </w:r>
    </w:p>
    <w:p w14:paraId="380B0887" w14:textId="77777777" w:rsidR="00FF7248" w:rsidRPr="00EF62C9" w:rsidRDefault="00FF7248" w:rsidP="00A06D8B">
      <w:pPr>
        <w:numPr>
          <w:ilvl w:val="0"/>
          <w:numId w:val="58"/>
        </w:numPr>
        <w:spacing w:after="0"/>
        <w:rPr>
          <w:rFonts w:eastAsia="Calibri" w:cs="Calibri"/>
          <w:spacing w:val="0"/>
        </w:rPr>
      </w:pPr>
      <w:r w:rsidRPr="00EF62C9">
        <w:rPr>
          <w:rFonts w:eastAsia="Calibri" w:cs="Calibri"/>
          <w:spacing w:val="0"/>
        </w:rPr>
        <w:t>Offers backdated degrees or “experience date” degrees</w:t>
      </w:r>
    </w:p>
    <w:p w14:paraId="1A52EA61" w14:textId="77777777" w:rsidR="00FF7248" w:rsidRPr="00EF62C9" w:rsidRDefault="00FF7248" w:rsidP="00A06D8B">
      <w:pPr>
        <w:numPr>
          <w:ilvl w:val="0"/>
          <w:numId w:val="58"/>
        </w:numPr>
        <w:spacing w:after="0"/>
        <w:rPr>
          <w:rFonts w:eastAsia="Calibri" w:cs="Calibri"/>
          <w:spacing w:val="0"/>
        </w:rPr>
      </w:pPr>
      <w:r w:rsidRPr="00EF62C9">
        <w:rPr>
          <w:rFonts w:eastAsia="Calibri" w:cs="Calibri"/>
          <w:spacing w:val="0"/>
        </w:rPr>
        <w:t>Pictures of the degree, transcript, and/or accreditation appear in a catalog or on website</w:t>
      </w:r>
    </w:p>
    <w:p w14:paraId="79F63BB7" w14:textId="77777777" w:rsidR="00FF7248" w:rsidRPr="00EF62C9" w:rsidRDefault="00FF7248" w:rsidP="00A06D8B">
      <w:pPr>
        <w:numPr>
          <w:ilvl w:val="0"/>
          <w:numId w:val="58"/>
        </w:numPr>
        <w:spacing w:after="0"/>
        <w:rPr>
          <w:rFonts w:eastAsia="Calibri" w:cs="Calibri"/>
          <w:spacing w:val="0"/>
        </w:rPr>
      </w:pPr>
      <w:r w:rsidRPr="00EF62C9">
        <w:rPr>
          <w:rFonts w:eastAsia="Calibri" w:cs="Calibri"/>
          <w:spacing w:val="0"/>
        </w:rPr>
        <w:t>Degrees can be obtained in a short timeframe</w:t>
      </w:r>
    </w:p>
    <w:p w14:paraId="765DC953" w14:textId="77777777" w:rsidR="00FF7248" w:rsidRPr="00EF62C9" w:rsidRDefault="00FF7248" w:rsidP="00A1014F">
      <w:pPr>
        <w:spacing w:after="0"/>
        <w:rPr>
          <w:rFonts w:eastAsia="Times New Roman" w:cs="Calibri"/>
          <w:spacing w:val="0"/>
          <w:u w:val="single"/>
        </w:rPr>
      </w:pPr>
      <w:r w:rsidRPr="00EF62C9">
        <w:rPr>
          <w:rFonts w:eastAsia="Times New Roman" w:cs="Calibri"/>
          <w:spacing w:val="0"/>
          <w:u w:val="single"/>
        </w:rPr>
        <w:t>Self-Promotion</w:t>
      </w:r>
    </w:p>
    <w:p w14:paraId="07015A16" w14:textId="77777777" w:rsidR="00FF7248" w:rsidRPr="00EF62C9" w:rsidRDefault="00FF7248" w:rsidP="00A06D8B">
      <w:pPr>
        <w:numPr>
          <w:ilvl w:val="0"/>
          <w:numId w:val="59"/>
        </w:numPr>
        <w:spacing w:after="0"/>
        <w:rPr>
          <w:rFonts w:eastAsia="Calibri" w:cs="Calibri"/>
          <w:spacing w:val="0"/>
        </w:rPr>
      </w:pPr>
      <w:r w:rsidRPr="00EF62C9">
        <w:rPr>
          <w:rFonts w:eastAsia="Calibri" w:cs="Calibri"/>
          <w:spacing w:val="0"/>
        </w:rPr>
        <w:t>Advertises through unsolicited commercial email (spam) or pop-up ads</w:t>
      </w:r>
    </w:p>
    <w:p w14:paraId="740DFDCF" w14:textId="3D470B78" w:rsidR="00806A74" w:rsidRPr="00E94524" w:rsidRDefault="00FF7248" w:rsidP="00E94524">
      <w:pPr>
        <w:numPr>
          <w:ilvl w:val="0"/>
          <w:numId w:val="59"/>
        </w:numPr>
        <w:rPr>
          <w:rFonts w:eastAsia="Calibri" w:cs="Calibri"/>
          <w:spacing w:val="0"/>
        </w:rPr>
      </w:pPr>
      <w:r w:rsidRPr="00EF62C9">
        <w:rPr>
          <w:rFonts w:eastAsia="Calibri" w:cs="Calibri"/>
          <w:spacing w:val="0"/>
        </w:rPr>
        <w:t>Advertises products and services unrelated to education on website (e.g. credit card offers)</w:t>
      </w:r>
      <w:bookmarkStart w:id="66" w:name="_Toc187052949"/>
    </w:p>
    <w:p w14:paraId="34A4D28F" w14:textId="13B724DD" w:rsidR="00EA1EA7" w:rsidRPr="00F81C78" w:rsidRDefault="00EA1EA7" w:rsidP="00F81C78">
      <w:pPr>
        <w:pStyle w:val="Heading3"/>
        <w:rPr>
          <w:u w:val="single"/>
        </w:rPr>
      </w:pPr>
      <w:bookmarkStart w:id="67" w:name="_Toc187924147"/>
      <w:r w:rsidRPr="36A80A07">
        <w:rPr>
          <w:u w:val="single"/>
        </w:rPr>
        <w:t>FACTOR 4: DISHONEST CONDUCT</w:t>
      </w:r>
      <w:bookmarkEnd w:id="66"/>
      <w:bookmarkEnd w:id="67"/>
    </w:p>
    <w:p w14:paraId="322E832E" w14:textId="77777777" w:rsidR="00EA1EA7" w:rsidRDefault="00EA1EA7" w:rsidP="00F81C78">
      <w:pPr>
        <w:pStyle w:val="Heading4"/>
      </w:pPr>
      <w:bookmarkStart w:id="68" w:name="_Toc187052950"/>
      <w:r w:rsidRPr="02DB6E7A">
        <w:rPr>
          <w:rFonts w:eastAsia="Source Sans Pro" w:cs="Source Sans Pro"/>
          <w:szCs w:val="32"/>
        </w:rPr>
        <w:t>Concern</w:t>
      </w:r>
      <w:bookmarkEnd w:id="68"/>
    </w:p>
    <w:p w14:paraId="3D6B3D46" w14:textId="4CD7C10A" w:rsidR="00EA1EA7" w:rsidRPr="00EF62C9" w:rsidRDefault="00EA1EA7" w:rsidP="00BB062C">
      <w:pPr>
        <w:rPr>
          <w:rFonts w:eastAsia="Source Serif Pro" w:cs="Source Serif Pro"/>
          <w:color w:val="000000" w:themeColor="text1"/>
        </w:rPr>
      </w:pPr>
      <w:r w:rsidRPr="2C4E27A7">
        <w:rPr>
          <w:rFonts w:eastAsia="Source Serif Pro" w:cs="Source Serif Pro"/>
          <w:color w:val="000000" w:themeColor="text1"/>
        </w:rPr>
        <w:t>Dishonest conduct creates doubt about an individual’s reliability, and trustworthiness and calls into question an individual’s willingness to comply with laws, rules, norms, and standards.</w:t>
      </w:r>
    </w:p>
    <w:p w14:paraId="561A7DCC" w14:textId="77777777" w:rsidR="00EA1EA7" w:rsidRPr="00804F31" w:rsidRDefault="00EA1EA7" w:rsidP="00F81C78">
      <w:pPr>
        <w:pStyle w:val="Heading4"/>
      </w:pPr>
      <w:bookmarkStart w:id="69" w:name="_Toc187052951"/>
      <w:r w:rsidRPr="00804F31">
        <w:rPr>
          <w:rFonts w:eastAsia="Source Sans Pro" w:cs="Source Sans Pro"/>
          <w:szCs w:val="32"/>
        </w:rPr>
        <w:t>General Application / Discussion</w:t>
      </w:r>
      <w:bookmarkEnd w:id="69"/>
    </w:p>
    <w:p w14:paraId="5158CD01" w14:textId="7F803F6A" w:rsidR="00EA1EA7" w:rsidRPr="00EF62C9" w:rsidRDefault="00EA1EA7" w:rsidP="00F32810">
      <w:pPr>
        <w:spacing w:after="0"/>
        <w:rPr>
          <w:rFonts w:eastAsia="Source Serif Pro" w:cs="Source Serif Pro"/>
        </w:rPr>
      </w:pPr>
      <w:r w:rsidRPr="2AEFA46C">
        <w:rPr>
          <w:rFonts w:eastAsia="Source Serif Pro" w:cs="Source Serif Pro"/>
        </w:rPr>
        <w:t>Evidence of deliberate financial irresponsibility with continuing, valid debts of a significant nature</w:t>
      </w:r>
      <w:r w:rsidR="4111ECE2" w:rsidRPr="2AEFA46C">
        <w:rPr>
          <w:rFonts w:eastAsia="Source Serif Pro" w:cs="Source Serif Pro"/>
        </w:rPr>
        <w:t xml:space="preserve"> </w:t>
      </w:r>
      <w:r w:rsidRPr="2AEFA46C">
        <w:rPr>
          <w:rFonts w:eastAsia="Source Serif Pro" w:cs="Source Serif Pro"/>
        </w:rPr>
        <w:t xml:space="preserve">(such as unwillingness to satisfy just debts, delinquent debt caused by frivolous and irresponsible spending, and the absence of any evidence of willingness or intent to pay the debt or establish a realistic plan to resolve the debt , history of not meeting financial obligations, etc.) may be of </w:t>
      </w:r>
      <w:r w:rsidR="00208116" w:rsidRPr="2AEFA46C">
        <w:rPr>
          <w:rFonts w:eastAsia="Source Serif Pro" w:cs="Source Serif Pro"/>
        </w:rPr>
        <w:t>S</w:t>
      </w:r>
      <w:r w:rsidRPr="2AEFA46C">
        <w:rPr>
          <w:rFonts w:eastAsia="Source Serif Pro" w:cs="Source Serif Pro"/>
        </w:rPr>
        <w:t xml:space="preserve">uitability </w:t>
      </w:r>
      <w:r w:rsidR="00208116" w:rsidRPr="2AEFA46C">
        <w:rPr>
          <w:rFonts w:eastAsia="Source Serif Pro" w:cs="Source Serif Pro"/>
        </w:rPr>
        <w:t xml:space="preserve">or fitness </w:t>
      </w:r>
      <w:r w:rsidRPr="2AEFA46C">
        <w:rPr>
          <w:rFonts w:eastAsia="Source Serif Pro" w:cs="Source Serif Pro"/>
        </w:rPr>
        <w:t>concern. However, applicants cannot be found unsuitable</w:t>
      </w:r>
      <w:r w:rsidR="1145B295" w:rsidRPr="2AEFA46C">
        <w:rPr>
          <w:rFonts w:eastAsia="Source Serif Pro" w:cs="Source Serif Pro"/>
        </w:rPr>
        <w:t xml:space="preserve"> or unfit</w:t>
      </w:r>
      <w:r w:rsidRPr="2AEFA46C">
        <w:rPr>
          <w:rFonts w:eastAsia="Source Serif Pro" w:cs="Source Serif Pro"/>
        </w:rPr>
        <w:t xml:space="preserve"> solely because they are facing financial difficulties (through no fault of their own), so long as that applicant has made a good-faith effort to meet </w:t>
      </w:r>
      <w:r w:rsidR="079D289D" w:rsidRPr="2AEFA46C">
        <w:rPr>
          <w:rFonts w:eastAsia="Source Serif Pro" w:cs="Source Serif Pro"/>
        </w:rPr>
        <w:t>their</w:t>
      </w:r>
      <w:r w:rsidRPr="2AEFA46C">
        <w:rPr>
          <w:rFonts w:eastAsia="Source Serif Pro" w:cs="Source Serif Pro"/>
        </w:rPr>
        <w:t xml:space="preserve"> financial obligations.</w:t>
      </w:r>
    </w:p>
    <w:p w14:paraId="5DF706DA" w14:textId="1CB4322A" w:rsidR="00EA1EA7" w:rsidRPr="00804F31" w:rsidRDefault="00EA1EA7" w:rsidP="00F81C78">
      <w:pPr>
        <w:pStyle w:val="Heading4"/>
      </w:pPr>
      <w:bookmarkStart w:id="70" w:name="_Toc187052952"/>
      <w:r w:rsidRPr="00804F31">
        <w:t>Potential Suitability/Fitness Concerns</w:t>
      </w:r>
      <w:bookmarkEnd w:id="70"/>
    </w:p>
    <w:p w14:paraId="5ECDD9E3" w14:textId="170343A7" w:rsidR="00EA1EA7" w:rsidRPr="00EF62C9" w:rsidRDefault="00EA1EA7" w:rsidP="00BB062C">
      <w:pPr>
        <w:spacing w:after="60"/>
        <w:rPr>
          <w:rFonts w:eastAsia="Source Serif Pro" w:cs="Source Serif Pro"/>
          <w:color w:val="000000" w:themeColor="text1"/>
        </w:rPr>
      </w:pPr>
      <w:r w:rsidRPr="00EF62C9">
        <w:rPr>
          <w:rFonts w:eastAsia="Source Serif Pro" w:cs="Source Serif Pro"/>
          <w:b/>
          <w:i/>
          <w:color w:val="000000" w:themeColor="text1"/>
        </w:rPr>
        <w:t>Examples of conditions that could raise a concern and may lead to an unfavorable determination include:</w:t>
      </w:r>
    </w:p>
    <w:p w14:paraId="1A2CB39B" w14:textId="77777777" w:rsidR="00EA1EA7" w:rsidRPr="00EF62C9" w:rsidRDefault="00EA1EA7" w:rsidP="00A06D8B">
      <w:pPr>
        <w:pStyle w:val="ListParagraph"/>
        <w:numPr>
          <w:ilvl w:val="0"/>
          <w:numId w:val="39"/>
        </w:numPr>
        <w:spacing w:after="0"/>
        <w:contextualSpacing w:val="0"/>
        <w:rPr>
          <w:rFonts w:eastAsia="Source Serif Pro" w:cs="Source Serif Pro"/>
          <w:color w:val="000000" w:themeColor="text1"/>
        </w:rPr>
      </w:pPr>
      <w:r w:rsidRPr="00EF62C9">
        <w:rPr>
          <w:rFonts w:eastAsia="Source Serif Pro" w:cs="Source Serif Pro"/>
          <w:color w:val="000000" w:themeColor="text1"/>
        </w:rPr>
        <w:t>Unwillingness to satisfy just debts.</w:t>
      </w:r>
    </w:p>
    <w:p w14:paraId="3FF3087E" w14:textId="77777777" w:rsidR="00EA1EA7" w:rsidRPr="00EF62C9" w:rsidRDefault="00EA1EA7" w:rsidP="00A06D8B">
      <w:pPr>
        <w:pStyle w:val="ListParagraph"/>
        <w:numPr>
          <w:ilvl w:val="0"/>
          <w:numId w:val="39"/>
        </w:numPr>
        <w:spacing w:after="0"/>
        <w:contextualSpacing w:val="0"/>
        <w:rPr>
          <w:rFonts w:eastAsia="Source Serif Pro" w:cs="Source Serif Pro"/>
          <w:color w:val="000000" w:themeColor="text1"/>
        </w:rPr>
      </w:pPr>
      <w:r w:rsidRPr="00EF62C9">
        <w:rPr>
          <w:rFonts w:eastAsia="Source Serif Pro" w:cs="Source Serif Pro"/>
          <w:color w:val="000000" w:themeColor="text1"/>
        </w:rPr>
        <w:t>Credit delinquencies caused by frivolous or irresponsible spending and the absence of any evidence of willingness or intent to pay the debt or establish a realistic plan to resolve the debt through other means.</w:t>
      </w:r>
    </w:p>
    <w:p w14:paraId="699992AD" w14:textId="77777777" w:rsidR="00EA1EA7" w:rsidRPr="00EF62C9" w:rsidRDefault="00EA1EA7" w:rsidP="00A06D8B">
      <w:pPr>
        <w:pStyle w:val="ListParagraph"/>
        <w:numPr>
          <w:ilvl w:val="0"/>
          <w:numId w:val="39"/>
        </w:numPr>
        <w:spacing w:after="0"/>
        <w:contextualSpacing w:val="0"/>
        <w:rPr>
          <w:rFonts w:eastAsia="Source Serif Pro" w:cs="Source Serif Pro"/>
          <w:color w:val="000000" w:themeColor="text1"/>
        </w:rPr>
      </w:pPr>
      <w:r w:rsidRPr="00EF62C9">
        <w:rPr>
          <w:rFonts w:eastAsia="Source Serif Pro" w:cs="Source Serif Pro"/>
          <w:color w:val="000000" w:themeColor="text1"/>
        </w:rPr>
        <w:t xml:space="preserve">A history of not meeting financial obligations. </w:t>
      </w:r>
    </w:p>
    <w:p w14:paraId="439CECEF" w14:textId="77777777" w:rsidR="00EA1EA7" w:rsidRPr="00EF62C9" w:rsidRDefault="00EA1EA7" w:rsidP="00A06D8B">
      <w:pPr>
        <w:pStyle w:val="ListParagraph"/>
        <w:numPr>
          <w:ilvl w:val="0"/>
          <w:numId w:val="39"/>
        </w:numPr>
        <w:spacing w:after="0"/>
        <w:contextualSpacing w:val="0"/>
        <w:rPr>
          <w:rFonts w:eastAsia="Source Serif Pro" w:cs="Source Serif Pro"/>
          <w:color w:val="000000" w:themeColor="text1"/>
        </w:rPr>
      </w:pPr>
      <w:r w:rsidRPr="00EF62C9">
        <w:rPr>
          <w:rFonts w:eastAsia="Source Serif Pro" w:cs="Source Serif Pro"/>
          <w:color w:val="000000" w:themeColor="text1"/>
        </w:rPr>
        <w:t>Illegal dishonest activities (such as theft, acceptance of a bribe, falsification of claims and business records, perjury, forgery, etc.).</w:t>
      </w:r>
    </w:p>
    <w:p w14:paraId="3B0847D8" w14:textId="1516AB5B" w:rsidR="00EA1EA7" w:rsidRPr="00BB062C" w:rsidRDefault="00EA1EA7" w:rsidP="00A06D8B">
      <w:pPr>
        <w:pStyle w:val="ListParagraph"/>
        <w:numPr>
          <w:ilvl w:val="0"/>
          <w:numId w:val="39"/>
        </w:numPr>
        <w:contextualSpacing w:val="0"/>
        <w:rPr>
          <w:rFonts w:eastAsia="Source Serif Pro" w:cs="Source Serif Pro"/>
          <w:color w:val="000000" w:themeColor="text1"/>
        </w:rPr>
      </w:pPr>
      <w:r w:rsidRPr="00EF62C9">
        <w:rPr>
          <w:rFonts w:eastAsia="Source Serif Pro" w:cs="Source Serif Pro"/>
          <w:color w:val="000000" w:themeColor="text1"/>
        </w:rPr>
        <w:t>Deliberate lies, fraud, or deceit on documents not related to a position subject to a suitability or fitness determination.</w:t>
      </w:r>
    </w:p>
    <w:p w14:paraId="47B8EBA1" w14:textId="77777777" w:rsidR="00EA1EA7" w:rsidRPr="00804F31" w:rsidRDefault="00EA1EA7" w:rsidP="00F81C78">
      <w:pPr>
        <w:pStyle w:val="Heading4"/>
      </w:pPr>
      <w:bookmarkStart w:id="71" w:name="_Toc187052953"/>
      <w:r w:rsidRPr="00804F31">
        <w:lastRenderedPageBreak/>
        <w:t>Mitigating Conditions</w:t>
      </w:r>
      <w:bookmarkEnd w:id="71"/>
      <w:r w:rsidRPr="00804F31">
        <w:t xml:space="preserve"> </w:t>
      </w:r>
    </w:p>
    <w:p w14:paraId="1C34683E" w14:textId="77777777" w:rsidR="00EA1EA7" w:rsidRPr="00EF62C9" w:rsidRDefault="00EA1EA7" w:rsidP="00BB062C">
      <w:pPr>
        <w:spacing w:after="60"/>
        <w:rPr>
          <w:rFonts w:eastAsia="Source Serif Pro" w:cs="Source Serif Pro"/>
          <w:b/>
          <w:i/>
          <w:color w:val="000000" w:themeColor="text1"/>
        </w:rPr>
      </w:pPr>
      <w:r w:rsidRPr="00EF62C9">
        <w:rPr>
          <w:rFonts w:eastAsia="Source Serif Pro" w:cs="Source Serif Pro"/>
          <w:b/>
          <w:i/>
          <w:color w:val="000000" w:themeColor="text1"/>
        </w:rPr>
        <w:t>Examples of conditions that could mitigate concerns, as determined by applying pertinent additional considerations:</w:t>
      </w:r>
    </w:p>
    <w:p w14:paraId="218FC374" w14:textId="77777777" w:rsidR="00EA1EA7" w:rsidRPr="00EF62C9" w:rsidRDefault="00EA1EA7" w:rsidP="00A06D8B">
      <w:pPr>
        <w:pStyle w:val="ListParagraph"/>
        <w:numPr>
          <w:ilvl w:val="0"/>
          <w:numId w:val="38"/>
        </w:numPr>
        <w:spacing w:after="0"/>
        <w:contextualSpacing w:val="0"/>
        <w:rPr>
          <w:rFonts w:eastAsia="Source Serif Pro" w:cs="Source Serif Pro"/>
          <w:color w:val="000000" w:themeColor="text1"/>
        </w:rPr>
      </w:pPr>
      <w:r w:rsidRPr="00EF62C9">
        <w:rPr>
          <w:rFonts w:eastAsia="Source Serif Pro" w:cs="Source Serif Pro"/>
          <w:color w:val="000000" w:themeColor="text1"/>
        </w:rPr>
        <w:t>The conduct is minor.</w:t>
      </w:r>
    </w:p>
    <w:p w14:paraId="234A0412" w14:textId="77777777" w:rsidR="00EA1EA7" w:rsidRPr="00EF62C9" w:rsidRDefault="00EA1EA7" w:rsidP="00A06D8B">
      <w:pPr>
        <w:pStyle w:val="ListParagraph"/>
        <w:numPr>
          <w:ilvl w:val="0"/>
          <w:numId w:val="38"/>
        </w:numPr>
        <w:spacing w:after="0"/>
        <w:contextualSpacing w:val="0"/>
        <w:rPr>
          <w:rFonts w:eastAsia="Source Serif Pro" w:cs="Source Serif Pro"/>
          <w:color w:val="000000" w:themeColor="text1"/>
        </w:rPr>
      </w:pPr>
      <w:r w:rsidRPr="00EF62C9">
        <w:rPr>
          <w:rFonts w:eastAsia="Source Serif Pro" w:cs="Source Serif Pro"/>
          <w:color w:val="000000" w:themeColor="text1"/>
        </w:rPr>
        <w:t>So much time has passed since the conduct.</w:t>
      </w:r>
    </w:p>
    <w:p w14:paraId="698AF297" w14:textId="77777777" w:rsidR="00EA1EA7" w:rsidRPr="00EF62C9" w:rsidRDefault="00EA1EA7" w:rsidP="00A06D8B">
      <w:pPr>
        <w:pStyle w:val="ListParagraph"/>
        <w:numPr>
          <w:ilvl w:val="0"/>
          <w:numId w:val="38"/>
        </w:numPr>
        <w:spacing w:after="0"/>
        <w:contextualSpacing w:val="0"/>
        <w:rPr>
          <w:rFonts w:eastAsia="Source Serif Pro" w:cs="Source Serif Pro"/>
          <w:color w:val="000000" w:themeColor="text1"/>
        </w:rPr>
      </w:pPr>
      <w:r w:rsidRPr="00EF62C9">
        <w:rPr>
          <w:rFonts w:eastAsia="Source Serif Pro" w:cs="Source Serif Pro"/>
          <w:color w:val="000000" w:themeColor="text1"/>
        </w:rPr>
        <w:t>The behavior was infrequent.</w:t>
      </w:r>
    </w:p>
    <w:p w14:paraId="128972B6" w14:textId="0B269B4D" w:rsidR="00EA1EA7" w:rsidRPr="00EF62C9" w:rsidRDefault="00EA1EA7" w:rsidP="00A06D8B">
      <w:pPr>
        <w:pStyle w:val="ListParagraph"/>
        <w:numPr>
          <w:ilvl w:val="0"/>
          <w:numId w:val="38"/>
        </w:numPr>
        <w:spacing w:after="0"/>
        <w:contextualSpacing w:val="0"/>
        <w:rPr>
          <w:rFonts w:eastAsia="Source Serif Pro" w:cs="Source Serif Pro"/>
          <w:color w:val="000000" w:themeColor="text1"/>
        </w:rPr>
      </w:pPr>
      <w:r w:rsidRPr="00EF62C9">
        <w:rPr>
          <w:rFonts w:eastAsia="Source Serif Pro" w:cs="Source Serif Pro"/>
          <w:color w:val="000000" w:themeColor="text1"/>
        </w:rPr>
        <w:t>The conduct happened under such unique circumstances that it is unlikely to recur and does not cast doubt on the individual’s character or suggest the individual’s employment would adversely impact the integrity or efficiency of the service.</w:t>
      </w:r>
    </w:p>
    <w:p w14:paraId="3E025A27" w14:textId="0E886DB2" w:rsidR="00EA1EA7" w:rsidRPr="00EF62C9" w:rsidRDefault="00EA1EA7" w:rsidP="00A06D8B">
      <w:pPr>
        <w:pStyle w:val="ListParagraph"/>
        <w:numPr>
          <w:ilvl w:val="0"/>
          <w:numId w:val="38"/>
        </w:numPr>
        <w:spacing w:after="0"/>
        <w:contextualSpacing w:val="0"/>
        <w:rPr>
          <w:rFonts w:eastAsia="Source Serif Pro" w:cs="Source Serif Pro"/>
          <w:color w:val="000000" w:themeColor="text1"/>
        </w:rPr>
      </w:pPr>
      <w:r w:rsidRPr="00EF62C9">
        <w:rPr>
          <w:rFonts w:eastAsia="Source Serif Pro" w:cs="Source Serif Pro"/>
          <w:color w:val="000000" w:themeColor="text1"/>
        </w:rPr>
        <w:t xml:space="preserve">There exists no increased concern based on the authority, responsibility, sensitivity, and public trust associated with the position or a direct nexus to the core duties of the position or agency mission. </w:t>
      </w:r>
    </w:p>
    <w:p w14:paraId="7B49602F" w14:textId="77777777" w:rsidR="00EA1EA7" w:rsidRPr="00EF62C9" w:rsidRDefault="00EA1EA7" w:rsidP="00A06D8B">
      <w:pPr>
        <w:pStyle w:val="ListParagraph"/>
        <w:numPr>
          <w:ilvl w:val="0"/>
          <w:numId w:val="38"/>
        </w:numPr>
        <w:spacing w:after="0"/>
        <w:contextualSpacing w:val="0"/>
        <w:rPr>
          <w:rFonts w:eastAsia="Source Serif Pro" w:cs="Source Serif Pro"/>
          <w:color w:val="000000" w:themeColor="text1"/>
        </w:rPr>
      </w:pPr>
      <w:r w:rsidRPr="00EF62C9">
        <w:rPr>
          <w:rFonts w:eastAsia="Source Serif Pro" w:cs="Source Serif Pro"/>
          <w:color w:val="000000" w:themeColor="text1"/>
        </w:rPr>
        <w:t>There is reasonable belief that the individual unknowingly engaged in conduct that was wrong or negligent, and intentional prompt corrective efforts by the individual followed.</w:t>
      </w:r>
    </w:p>
    <w:p w14:paraId="1BF74468" w14:textId="611C2585" w:rsidR="00EA1EA7" w:rsidRPr="00EF62C9" w:rsidRDefault="00EA1EA7" w:rsidP="00A06D8B">
      <w:pPr>
        <w:pStyle w:val="ListParagraph"/>
        <w:numPr>
          <w:ilvl w:val="0"/>
          <w:numId w:val="38"/>
        </w:numPr>
        <w:spacing w:after="240"/>
        <w:contextualSpacing w:val="0"/>
        <w:rPr>
          <w:rFonts w:eastAsia="Source Serif Pro" w:cs="Source Serif Pro"/>
          <w:color w:val="000000" w:themeColor="text1"/>
        </w:rPr>
      </w:pPr>
      <w:r w:rsidRPr="00EF62C9">
        <w:rPr>
          <w:rFonts w:eastAsia="Source Serif Pro" w:cs="Source Serif Pro"/>
          <w:color w:val="000000" w:themeColor="text1"/>
        </w:rPr>
        <w:t>There is evidence of successful rehabilitation; including, but not limited to, passage of time without reoccurrence of employment misconduct or negligence, compliance with terms of employment improvement plan, job training or good employment record.</w:t>
      </w:r>
    </w:p>
    <w:p w14:paraId="78080A71" w14:textId="77777777" w:rsidR="00EA1EA7" w:rsidRPr="00F81C78" w:rsidRDefault="00EA1EA7" w:rsidP="00F81C78">
      <w:pPr>
        <w:pStyle w:val="Heading3"/>
        <w:rPr>
          <w:u w:val="single"/>
        </w:rPr>
      </w:pPr>
      <w:bookmarkStart w:id="72" w:name="_Toc187052954"/>
      <w:bookmarkStart w:id="73" w:name="_Toc187924148"/>
      <w:r w:rsidRPr="36A80A07">
        <w:rPr>
          <w:u w:val="single"/>
        </w:rPr>
        <w:t>FACTOR 5: EXCESSIVE ALCOHOL USE, WITHOUT EVIDENCE OF REHABILITATION, OF A NATURE AND DURATION THAT SUGGESTS THE APPLICANT OR APPOINTEE WOULD BE PREVENTED FROM PERFORMING THE DUTIES OF THE POSITION IN QUESTION, OR WOULD CONSTITUTE A DIRECT THREAT TO THE PROPERTY OR SAFETY OF THE APPLICANT, APPOINTEE, OR OTHERS</w:t>
      </w:r>
      <w:bookmarkEnd w:id="72"/>
      <w:bookmarkEnd w:id="73"/>
    </w:p>
    <w:p w14:paraId="678587E3" w14:textId="77777777" w:rsidR="00EA1EA7" w:rsidRDefault="00EA1EA7" w:rsidP="00C17B73">
      <w:pPr>
        <w:pStyle w:val="Heading4"/>
      </w:pPr>
      <w:bookmarkStart w:id="74" w:name="_Toc187052955"/>
      <w:r w:rsidRPr="02DB6E7A">
        <w:rPr>
          <w:rFonts w:eastAsia="Source Sans Pro" w:cs="Source Sans Pro"/>
          <w:szCs w:val="32"/>
        </w:rPr>
        <w:t>Concern</w:t>
      </w:r>
      <w:bookmarkEnd w:id="74"/>
    </w:p>
    <w:p w14:paraId="08BAEC9B" w14:textId="3DB24B77" w:rsidR="00EA1EA7" w:rsidRPr="00EF62C9" w:rsidRDefault="00EA1EA7" w:rsidP="002C37F6">
      <w:pPr>
        <w:rPr>
          <w:rFonts w:eastAsia="Source Serif Pro" w:cs="Source Serif Pro"/>
        </w:rPr>
      </w:pPr>
      <w:r w:rsidRPr="00EF62C9">
        <w:rPr>
          <w:rFonts w:eastAsia="Source Serif Pro" w:cs="Source Serif Pro"/>
        </w:rPr>
        <w:t>An individual’s excessive use of alcohol may impact on their ability to complete the duties of the job and/or cause them to behave or act in a manner that puts their own safety or the safety of others at risk, thus indicating employment would not promote the efficiency or protect the integrity of the service.</w:t>
      </w:r>
    </w:p>
    <w:p w14:paraId="0613A152" w14:textId="77777777" w:rsidR="00EA1EA7" w:rsidRDefault="00EA1EA7" w:rsidP="00C17B73">
      <w:pPr>
        <w:pStyle w:val="Heading4"/>
      </w:pPr>
      <w:bookmarkStart w:id="75" w:name="_Toc187052956"/>
      <w:r w:rsidRPr="02DB6E7A">
        <w:rPr>
          <w:rFonts w:eastAsia="Source Sans Pro" w:cs="Source Sans Pro"/>
          <w:szCs w:val="32"/>
        </w:rPr>
        <w:t>General Application / Discussion</w:t>
      </w:r>
      <w:bookmarkEnd w:id="75"/>
    </w:p>
    <w:p w14:paraId="68BA37A8" w14:textId="60D32902" w:rsidR="00EA1EA7" w:rsidRPr="002E0E18" w:rsidRDefault="00EA1EA7" w:rsidP="00CF05CC">
      <w:r w:rsidRPr="002E0E18">
        <w:rPr>
          <w:rFonts w:eastAsia="Calibri" w:cs="Calibri"/>
        </w:rPr>
        <w:t>Excessive alcohol consumption can lead to increased absenteeism, poor performance, or lapses in judgment that may cause the individual to be unable to perform their job duties. Excessive alcohol consumption may cause individuals to engage in risky behavior, such as operating motor vehicles while under the influence, that can put themselves and others at serious risk of injury or death.</w:t>
      </w:r>
      <w:r w:rsidR="009744BD">
        <w:rPr>
          <w:rFonts w:eastAsia="Calibri" w:cs="Calibri"/>
        </w:rPr>
        <w:t xml:space="preserve"> </w:t>
      </w:r>
      <w:r w:rsidRPr="002E0E18">
        <w:rPr>
          <w:rFonts w:eastAsia="Calibri" w:cs="Calibri"/>
        </w:rPr>
        <w:t xml:space="preserve">Disqualifying conditions are not dependent on whether the individual has been diagnosed with an alcohol use disorder. Since it is inherent in the factor to prove the conduct would prevent the individual from performing the duties of the position, in instances in which the individual has </w:t>
      </w:r>
      <w:r w:rsidRPr="002E0E18">
        <w:rPr>
          <w:rFonts w:eastAsia="Calibri" w:cs="Calibri"/>
        </w:rPr>
        <w:lastRenderedPageBreak/>
        <w:t xml:space="preserve">already been appointed when the issue of excessive alcohol comes to light, performance of duties without incident may be a consideration and agencies may consider whether an approach under an authority other </w:t>
      </w:r>
      <w:r w:rsidR="009B4CE5">
        <w:rPr>
          <w:rFonts w:eastAsia="Calibri" w:cs="Calibri"/>
        </w:rPr>
        <w:t xml:space="preserve">than 5 C.F.R. </w:t>
      </w:r>
      <w:r w:rsidRPr="002E0E18">
        <w:rPr>
          <w:rFonts w:eastAsia="Calibri" w:cs="Calibri"/>
        </w:rPr>
        <w:t xml:space="preserve">part 731 may be more appropriate. Rehabilitation cannot be established if the conduct is ongoing. </w:t>
      </w:r>
    </w:p>
    <w:p w14:paraId="4AF61B6C" w14:textId="2DA267F5" w:rsidR="00EA1EA7" w:rsidRPr="002E0E18" w:rsidRDefault="00EA1EA7" w:rsidP="00CF05CC">
      <w:pPr>
        <w:spacing w:after="60"/>
        <w:ind w:left="173" w:hanging="187"/>
      </w:pPr>
      <w:r w:rsidRPr="002E0E18">
        <w:rPr>
          <w:rFonts w:eastAsia="Calibri" w:cs="Calibri"/>
        </w:rPr>
        <w:t>Examples of conduct that may support the consideration of this factor include:</w:t>
      </w:r>
    </w:p>
    <w:p w14:paraId="5E86CD95" w14:textId="238851CE" w:rsidR="00EA1EA7" w:rsidRPr="002E0E18" w:rsidRDefault="00EA1EA7" w:rsidP="00A06D8B">
      <w:pPr>
        <w:pStyle w:val="ListParagraph"/>
        <w:numPr>
          <w:ilvl w:val="0"/>
          <w:numId w:val="29"/>
        </w:numPr>
        <w:spacing w:after="0"/>
        <w:contextualSpacing w:val="0"/>
        <w:rPr>
          <w:rFonts w:eastAsia="Calibri" w:cs="Calibri"/>
        </w:rPr>
      </w:pPr>
      <w:r w:rsidRPr="002E0E18">
        <w:rPr>
          <w:rFonts w:eastAsia="Calibri" w:cs="Calibri"/>
        </w:rPr>
        <w:t>Regular binge or heavy drinking that causes trouble in the individual’s personal or professional life</w:t>
      </w:r>
      <w:r w:rsidR="002E2946" w:rsidRPr="002E0E18">
        <w:rPr>
          <w:rFonts w:eastAsia="Calibri" w:cs="Calibri"/>
        </w:rPr>
        <w:t>.</w:t>
      </w:r>
      <w:r w:rsidRPr="002E0E18">
        <w:rPr>
          <w:rFonts w:eastAsia="Calibri" w:cs="Calibri"/>
        </w:rPr>
        <w:t xml:space="preserve"> </w:t>
      </w:r>
    </w:p>
    <w:p w14:paraId="7489B4AD" w14:textId="3FB6FE57" w:rsidR="00EA1EA7" w:rsidRPr="002E0E18" w:rsidRDefault="00EA1EA7" w:rsidP="00A06D8B">
      <w:pPr>
        <w:pStyle w:val="ListParagraph"/>
        <w:numPr>
          <w:ilvl w:val="0"/>
          <w:numId w:val="29"/>
        </w:numPr>
        <w:spacing w:after="0"/>
        <w:contextualSpacing w:val="0"/>
        <w:rPr>
          <w:rFonts w:eastAsia="Calibri" w:cs="Calibri"/>
        </w:rPr>
      </w:pPr>
      <w:r w:rsidRPr="002E0E18">
        <w:rPr>
          <w:rFonts w:eastAsia="Calibri" w:cs="Calibri"/>
        </w:rPr>
        <w:t>A pattern of alcohol-related arrests</w:t>
      </w:r>
      <w:r w:rsidR="002E2946" w:rsidRPr="002E0E18">
        <w:rPr>
          <w:rFonts w:eastAsia="Calibri" w:cs="Calibri"/>
        </w:rPr>
        <w:t>.</w:t>
      </w:r>
      <w:r w:rsidRPr="002E0E18">
        <w:rPr>
          <w:rFonts w:eastAsia="Calibri" w:cs="Calibri"/>
        </w:rPr>
        <w:t xml:space="preserve"> </w:t>
      </w:r>
    </w:p>
    <w:p w14:paraId="61E55219" w14:textId="6A48136A" w:rsidR="00EA1EA7" w:rsidRPr="002E0E18" w:rsidRDefault="00EA1EA7" w:rsidP="00A06D8B">
      <w:pPr>
        <w:pStyle w:val="ListParagraph"/>
        <w:numPr>
          <w:ilvl w:val="0"/>
          <w:numId w:val="29"/>
        </w:numPr>
        <w:contextualSpacing w:val="0"/>
        <w:rPr>
          <w:rFonts w:eastAsia="Calibri" w:cs="Calibri"/>
        </w:rPr>
      </w:pPr>
      <w:r w:rsidRPr="002E0E18">
        <w:rPr>
          <w:rFonts w:eastAsia="Calibri" w:cs="Calibri"/>
        </w:rPr>
        <w:t>Write-ups, counseling, or other disciplinary actions that clearly stem from problems in employment that are related to alcohol use</w:t>
      </w:r>
      <w:r w:rsidR="002E2946" w:rsidRPr="002E0E18">
        <w:rPr>
          <w:rFonts w:eastAsia="Calibri" w:cs="Calibri"/>
        </w:rPr>
        <w:t>.</w:t>
      </w:r>
    </w:p>
    <w:p w14:paraId="4147736C" w14:textId="77777777" w:rsidR="00EA1EA7" w:rsidRDefault="00EA1EA7" w:rsidP="00C17B73">
      <w:pPr>
        <w:pStyle w:val="Heading4"/>
      </w:pPr>
      <w:bookmarkStart w:id="76" w:name="_Toc187052957"/>
      <w:r w:rsidRPr="02DB6E7A">
        <w:t>Potential Suitability/Fitness Concerns</w:t>
      </w:r>
      <w:bookmarkEnd w:id="76"/>
    </w:p>
    <w:p w14:paraId="105FCCAF" w14:textId="6A1DB21B" w:rsidR="00EA1EA7" w:rsidRPr="002E2946" w:rsidRDefault="00EA1EA7" w:rsidP="00684DB0">
      <w:pPr>
        <w:spacing w:after="60"/>
        <w:rPr>
          <w:rFonts w:eastAsia="Source Serif Pro" w:cs="Source Serif Pro"/>
          <w:color w:val="000000" w:themeColor="text1"/>
        </w:rPr>
      </w:pPr>
      <w:r w:rsidRPr="02DB6E7A">
        <w:rPr>
          <w:rFonts w:eastAsia="Source Serif Pro" w:cs="Source Serif Pro"/>
          <w:b/>
          <w:bCs/>
          <w:i/>
          <w:iCs/>
          <w:color w:val="000000" w:themeColor="text1"/>
        </w:rPr>
        <w:t>Examples of conditions that could raise a concern and may lead to an unfavorable determination include:</w:t>
      </w:r>
    </w:p>
    <w:p w14:paraId="463C0A40" w14:textId="77777777" w:rsidR="00EA1EA7" w:rsidRPr="002E0E18" w:rsidRDefault="00EA1EA7" w:rsidP="00A06D8B">
      <w:pPr>
        <w:pStyle w:val="ListParagraph"/>
        <w:numPr>
          <w:ilvl w:val="0"/>
          <w:numId w:val="37"/>
        </w:numPr>
        <w:spacing w:after="0"/>
        <w:ind w:left="720"/>
        <w:contextualSpacing w:val="0"/>
        <w:rPr>
          <w:rFonts w:eastAsia="Source Serif Pro" w:cs="Source Serif Pro"/>
          <w:color w:val="000000" w:themeColor="text1"/>
        </w:rPr>
      </w:pPr>
      <w:r w:rsidRPr="002E0E18">
        <w:rPr>
          <w:rFonts w:eastAsia="Source Serif Pro" w:cs="Source Serif Pro"/>
          <w:color w:val="000000" w:themeColor="text1"/>
        </w:rPr>
        <w:t>Current continuing excessive use of alcohol.</w:t>
      </w:r>
    </w:p>
    <w:p w14:paraId="08620754" w14:textId="77777777" w:rsidR="00EA1EA7" w:rsidRPr="002E0E18" w:rsidRDefault="00EA1EA7" w:rsidP="00A06D8B">
      <w:pPr>
        <w:pStyle w:val="ListParagraph"/>
        <w:numPr>
          <w:ilvl w:val="0"/>
          <w:numId w:val="37"/>
        </w:numPr>
        <w:spacing w:after="0"/>
        <w:ind w:left="720"/>
        <w:contextualSpacing w:val="0"/>
        <w:rPr>
          <w:rFonts w:eastAsia="Source Serif Pro" w:cs="Source Serif Pro"/>
          <w:color w:val="000000" w:themeColor="text1"/>
        </w:rPr>
      </w:pPr>
      <w:r w:rsidRPr="002E0E18">
        <w:rPr>
          <w:rFonts w:eastAsia="Source Serif Pro" w:cs="Source Serif Pro"/>
          <w:color w:val="000000" w:themeColor="text1"/>
        </w:rPr>
        <w:t>A pattern of alcohol-related arrests and/or problems in employment.</w:t>
      </w:r>
    </w:p>
    <w:p w14:paraId="62E79419" w14:textId="4AF9C7AA" w:rsidR="00EA1EA7" w:rsidRPr="00684DB0" w:rsidRDefault="00EA1EA7" w:rsidP="2AEFA46C">
      <w:pPr>
        <w:pStyle w:val="ListParagraph"/>
        <w:numPr>
          <w:ilvl w:val="0"/>
          <w:numId w:val="37"/>
        </w:numPr>
        <w:ind w:left="720"/>
        <w:rPr>
          <w:rFonts w:eastAsia="Source Serif Pro" w:cs="Source Serif Pro"/>
          <w:color w:val="000000" w:themeColor="text1"/>
        </w:rPr>
      </w:pPr>
      <w:r>
        <w:t>Problematic misuse of alcohol, such as b</w:t>
      </w:r>
      <w:r w:rsidR="7CD4483C">
        <w:t>inge</w:t>
      </w:r>
      <w:r>
        <w:t xml:space="preserve"> drinking or heavy drinking, over a period of time to the point that it would prevent the individual from performing the duties of the position or cons</w:t>
      </w:r>
      <w:r w:rsidR="002E2946">
        <w:t>t</w:t>
      </w:r>
      <w:r>
        <w:t>itute a director threat to property or safety or that of others.</w:t>
      </w:r>
    </w:p>
    <w:p w14:paraId="69296336" w14:textId="77777777" w:rsidR="00EA1EA7" w:rsidRPr="00804F31" w:rsidRDefault="00EA1EA7" w:rsidP="00C17B73">
      <w:pPr>
        <w:pStyle w:val="Heading4"/>
      </w:pPr>
      <w:bookmarkStart w:id="77" w:name="_Toc187052958"/>
      <w:r w:rsidRPr="00804F31">
        <w:t>Mitigating Conditions</w:t>
      </w:r>
      <w:bookmarkEnd w:id="77"/>
      <w:r w:rsidRPr="00804F31">
        <w:t xml:space="preserve"> </w:t>
      </w:r>
    </w:p>
    <w:p w14:paraId="73D0108A" w14:textId="77777777" w:rsidR="00EA1EA7" w:rsidRPr="002E0E18" w:rsidRDefault="00EA1EA7" w:rsidP="00684DB0">
      <w:pPr>
        <w:spacing w:after="60"/>
        <w:rPr>
          <w:rFonts w:eastAsia="Source Serif Pro" w:cs="Source Serif Pro"/>
          <w:b/>
          <w:i/>
          <w:color w:val="000000" w:themeColor="text1"/>
        </w:rPr>
      </w:pPr>
      <w:r w:rsidRPr="002E0E18">
        <w:rPr>
          <w:rFonts w:eastAsia="Source Serif Pro" w:cs="Source Serif Pro"/>
          <w:b/>
          <w:i/>
          <w:color w:val="000000" w:themeColor="text1"/>
        </w:rPr>
        <w:t>Examples of conditions that could mitigate concerns, as determined by applying pertinent additional considerations:</w:t>
      </w:r>
    </w:p>
    <w:p w14:paraId="10177CFD" w14:textId="77777777" w:rsidR="00EA1EA7" w:rsidRPr="002E0E18" w:rsidRDefault="00EA1EA7" w:rsidP="00A06D8B">
      <w:pPr>
        <w:pStyle w:val="ListParagraph"/>
        <w:numPr>
          <w:ilvl w:val="0"/>
          <w:numId w:val="36"/>
        </w:numPr>
        <w:spacing w:after="0"/>
        <w:ind w:left="720"/>
        <w:contextualSpacing w:val="0"/>
        <w:rPr>
          <w:rFonts w:eastAsia="Source Serif Pro" w:cs="Source Serif Pro"/>
          <w:color w:val="000000" w:themeColor="text1"/>
        </w:rPr>
      </w:pPr>
      <w:r w:rsidRPr="002E0E18">
        <w:rPr>
          <w:rFonts w:eastAsia="Source Serif Pro" w:cs="Source Serif Pro"/>
          <w:color w:val="000000" w:themeColor="text1"/>
        </w:rPr>
        <w:t>So much time has passed since the conduct.</w:t>
      </w:r>
    </w:p>
    <w:p w14:paraId="7022BD50" w14:textId="77777777" w:rsidR="00EA1EA7" w:rsidRPr="002E0E18" w:rsidRDefault="00EA1EA7" w:rsidP="00A06D8B">
      <w:pPr>
        <w:pStyle w:val="ListParagraph"/>
        <w:numPr>
          <w:ilvl w:val="0"/>
          <w:numId w:val="36"/>
        </w:numPr>
        <w:spacing w:after="0"/>
        <w:ind w:left="720"/>
        <w:contextualSpacing w:val="0"/>
        <w:rPr>
          <w:rFonts w:eastAsia="Source Serif Pro" w:cs="Source Serif Pro"/>
          <w:color w:val="000000" w:themeColor="text1"/>
        </w:rPr>
      </w:pPr>
      <w:r w:rsidRPr="002E0E18">
        <w:rPr>
          <w:rFonts w:eastAsia="Source Serif Pro" w:cs="Source Serif Pro"/>
          <w:color w:val="000000" w:themeColor="text1"/>
        </w:rPr>
        <w:t>The behavior was infrequent.</w:t>
      </w:r>
    </w:p>
    <w:p w14:paraId="7FC5AA3C" w14:textId="63D0C07C" w:rsidR="00EA1EA7" w:rsidRPr="002E0E18" w:rsidRDefault="00EA1EA7" w:rsidP="00A06D8B">
      <w:pPr>
        <w:pStyle w:val="ListParagraph"/>
        <w:numPr>
          <w:ilvl w:val="0"/>
          <w:numId w:val="36"/>
        </w:numPr>
        <w:spacing w:after="0"/>
        <w:ind w:left="720"/>
        <w:contextualSpacing w:val="0"/>
        <w:rPr>
          <w:rFonts w:eastAsia="Source Serif Pro" w:cs="Source Serif Pro"/>
          <w:color w:val="000000" w:themeColor="text1"/>
        </w:rPr>
      </w:pPr>
      <w:r w:rsidRPr="002E0E18">
        <w:rPr>
          <w:rFonts w:eastAsia="Source Serif Pro" w:cs="Source Serif Pro"/>
          <w:color w:val="000000" w:themeColor="text1"/>
        </w:rPr>
        <w:t xml:space="preserve">The conduct happened under such unique circumstances that it is unlikely to recur and does not cast doubt on the individual’s character or suggest the individual’s employment would adversely impact the integrity or efficiency of the service. </w:t>
      </w:r>
    </w:p>
    <w:p w14:paraId="5D20A985" w14:textId="4584C24E" w:rsidR="00EA1EA7" w:rsidRPr="002E0E18" w:rsidRDefault="00EA1EA7" w:rsidP="00A06D8B">
      <w:pPr>
        <w:pStyle w:val="ListParagraph"/>
        <w:numPr>
          <w:ilvl w:val="0"/>
          <w:numId w:val="36"/>
        </w:numPr>
        <w:spacing w:after="0"/>
        <w:ind w:left="720"/>
        <w:contextualSpacing w:val="0"/>
        <w:rPr>
          <w:rFonts w:eastAsia="Source Serif Pro" w:cs="Source Serif Pro"/>
          <w:color w:val="000000" w:themeColor="text1"/>
        </w:rPr>
      </w:pPr>
      <w:r w:rsidRPr="002E0E18">
        <w:rPr>
          <w:rFonts w:eastAsia="Source Serif Pro" w:cs="Source Serif Pro"/>
          <w:color w:val="000000" w:themeColor="text1"/>
        </w:rPr>
        <w:t xml:space="preserve">There exists no increased concern based on the authority, responsibility, sensitivity, and public trust associated with the position or a direct nexus to the core duties of the position or agency mission. </w:t>
      </w:r>
    </w:p>
    <w:p w14:paraId="2B03A154" w14:textId="309CFD06" w:rsidR="00EA1EA7" w:rsidRDefault="00EA1EA7" w:rsidP="00A06D8B">
      <w:pPr>
        <w:pStyle w:val="ListParagraph"/>
        <w:numPr>
          <w:ilvl w:val="0"/>
          <w:numId w:val="36"/>
        </w:numPr>
        <w:spacing w:after="240"/>
        <w:ind w:left="720"/>
        <w:contextualSpacing w:val="0"/>
        <w:rPr>
          <w:rFonts w:eastAsia="Source Serif Pro" w:cs="Source Serif Pro"/>
          <w:color w:val="000000" w:themeColor="text1"/>
        </w:rPr>
      </w:pPr>
      <w:r w:rsidRPr="002E0E18">
        <w:rPr>
          <w:rFonts w:eastAsia="Source Serif Pro" w:cs="Source Serif Pro"/>
          <w:color w:val="000000" w:themeColor="text1"/>
        </w:rPr>
        <w:t>Rehabilitation will always be a consideration with this factor. There is evidence of successful rehabilitation; including, but not limited to, passage of time without reoccurrence of employment misconduct or negligence, compliance with terms of employment improvement plan, job training or good employment record.</w:t>
      </w:r>
    </w:p>
    <w:p w14:paraId="4550DA19" w14:textId="77777777" w:rsidR="00EA1EA7" w:rsidRPr="00C17B73" w:rsidRDefault="00EA1EA7" w:rsidP="00C17B73">
      <w:pPr>
        <w:pStyle w:val="Heading3"/>
        <w:rPr>
          <w:u w:val="single"/>
        </w:rPr>
      </w:pPr>
      <w:bookmarkStart w:id="78" w:name="_Toc187052959"/>
      <w:bookmarkStart w:id="79" w:name="_Toc187924149"/>
      <w:r w:rsidRPr="36A80A07">
        <w:rPr>
          <w:u w:val="single"/>
        </w:rPr>
        <w:lastRenderedPageBreak/>
        <w:t>FACTOR 6: ILLEGAL USE OF NARCOTICS, DRUGS, OR OTHER CONTROLLED SUNSTANCES, WITHOUT EVIDENCE OF REHABILITATION</w:t>
      </w:r>
      <w:bookmarkEnd w:id="78"/>
      <w:bookmarkEnd w:id="79"/>
    </w:p>
    <w:p w14:paraId="49CBCEF8" w14:textId="77777777" w:rsidR="00EA1EA7" w:rsidRDefault="00EA1EA7" w:rsidP="00C17B73">
      <w:pPr>
        <w:pStyle w:val="Heading4"/>
      </w:pPr>
      <w:bookmarkStart w:id="80" w:name="_Toc187052960"/>
      <w:r w:rsidRPr="02DB6E7A">
        <w:rPr>
          <w:rFonts w:eastAsia="Source Sans Pro" w:cs="Source Sans Pro"/>
          <w:szCs w:val="32"/>
        </w:rPr>
        <w:t>Concern</w:t>
      </w:r>
      <w:bookmarkEnd w:id="80"/>
    </w:p>
    <w:p w14:paraId="2ACFCA6D" w14:textId="2750ED00" w:rsidR="00EA1EA7" w:rsidRPr="003B3AC0" w:rsidRDefault="00EA1EA7" w:rsidP="00D41C43">
      <w:pPr>
        <w:rPr>
          <w:rFonts w:eastAsia="Source Serif Pro" w:cs="Source Serif Pro"/>
          <w:color w:val="000000" w:themeColor="text1"/>
        </w:rPr>
      </w:pPr>
      <w:r w:rsidRPr="2AEFA46C">
        <w:rPr>
          <w:rFonts w:eastAsia="Source Serif Pro" w:cs="Source Serif Pro"/>
          <w:color w:val="000000" w:themeColor="text1"/>
        </w:rPr>
        <w:t xml:space="preserve">Illegally using drugs or other controlled substances can raise questions about an individual’s reliability and trustworthiness and/or willingness to comply with laws, rules, and regulations, thus indicating </w:t>
      </w:r>
      <w:r w:rsidR="2A3B5D2A" w:rsidRPr="2AEFA46C">
        <w:rPr>
          <w:rFonts w:eastAsia="Source Serif Pro" w:cs="Source Serif Pro"/>
          <w:color w:val="000000" w:themeColor="text1"/>
        </w:rPr>
        <w:t>their</w:t>
      </w:r>
      <w:r w:rsidRPr="2AEFA46C">
        <w:rPr>
          <w:rFonts w:eastAsia="Source Serif Pro" w:cs="Source Serif Pro"/>
          <w:color w:val="000000" w:themeColor="text1"/>
        </w:rPr>
        <w:t xml:space="preserve"> employment would not promote the efficiency or protect the integrity of the service.</w:t>
      </w:r>
    </w:p>
    <w:p w14:paraId="004D7D2A" w14:textId="77777777" w:rsidR="00EA1EA7" w:rsidRPr="00804F31" w:rsidRDefault="00EA1EA7" w:rsidP="00C17B73">
      <w:pPr>
        <w:pStyle w:val="Heading4"/>
      </w:pPr>
      <w:bookmarkStart w:id="81" w:name="_Toc187052961"/>
      <w:r w:rsidRPr="00804F31">
        <w:rPr>
          <w:rFonts w:eastAsia="Source Sans Pro" w:cs="Source Sans Pro"/>
          <w:szCs w:val="32"/>
        </w:rPr>
        <w:t>General Application / Discussion</w:t>
      </w:r>
      <w:bookmarkEnd w:id="81"/>
    </w:p>
    <w:p w14:paraId="760649EF" w14:textId="4EA2DB3F" w:rsidR="00EA1EA7" w:rsidRPr="003B3AC0" w:rsidRDefault="00EA1EA7" w:rsidP="00A36BDB">
      <w:r w:rsidRPr="2AEFA46C">
        <w:rPr>
          <w:rFonts w:eastAsia="Calibri" w:cs="Calibri"/>
        </w:rPr>
        <w:t>Rehabilitation cannot be established if the conduct is ongoing; however, a commitment to stop using may be sufficient evidence of rehabilitation. For this factor,</w:t>
      </w:r>
      <w:r w:rsidR="00C06E6E" w:rsidRPr="2AEFA46C">
        <w:rPr>
          <w:rFonts w:eastAsia="Calibri" w:cs="Calibri"/>
        </w:rPr>
        <w:t xml:space="preserve"> </w:t>
      </w:r>
      <w:r w:rsidRPr="2AEFA46C">
        <w:rPr>
          <w:rFonts w:eastAsia="Calibri" w:cs="Calibri"/>
        </w:rPr>
        <w:t>the extent or duration of the illegal use need not be established to determine that one is unsuitable</w:t>
      </w:r>
      <w:r w:rsidR="1D016BCE" w:rsidRPr="2AEFA46C">
        <w:rPr>
          <w:rFonts w:eastAsia="Calibri" w:cs="Calibri"/>
        </w:rPr>
        <w:t xml:space="preserve"> or unfit</w:t>
      </w:r>
      <w:r w:rsidRPr="2AEFA46C">
        <w:rPr>
          <w:rFonts w:eastAsia="Calibri" w:cs="Calibri"/>
        </w:rPr>
        <w:t>; however, the circumstances surrounding the usage, and/or it’s nature or seriousness, may be relevant to determining whether it will cause one to be unsuitable</w:t>
      </w:r>
      <w:r w:rsidR="606CD039" w:rsidRPr="2AEFA46C">
        <w:rPr>
          <w:rFonts w:eastAsia="Calibri" w:cs="Calibri"/>
        </w:rPr>
        <w:t xml:space="preserve"> or unfit</w:t>
      </w:r>
      <w:r w:rsidRPr="2AEFA46C">
        <w:rPr>
          <w:rFonts w:eastAsia="Calibri" w:cs="Calibri"/>
        </w:rPr>
        <w:t>. For example, use of marijuana while hanging out with friends in a state where recreational marijuana use has been legalized may be viewed differently than use of heroin, which has not been legalized. In this example, the use of marijuana may be mitigated when considering the setting and the individual’s understanding of the state level law whereas, the latter, the use of heroin, was done with an understanding that it was in violation of the law. If the person is a current user, the conduct may still be sufficiently serious to cause a general concern, but rehabilitation is not confined to a set timeframe. Some individuals may demonstrate rehabilitation within a short period of time, whereas others may not. Therefore, a commitment to stop using may be sufficient evidence of rehabilitation. However, each case must be assessed on the merits and considering what is known about the situation and the individual.</w:t>
      </w:r>
    </w:p>
    <w:p w14:paraId="6A4F49A9" w14:textId="68D7532D" w:rsidR="00EA1EA7" w:rsidRPr="003B3AC0" w:rsidRDefault="00EA1EA7" w:rsidP="00A36BDB">
      <w:pPr>
        <w:spacing w:after="60"/>
      </w:pPr>
      <w:r w:rsidRPr="2AEFA46C">
        <w:rPr>
          <w:rFonts w:eastAsia="Calibri" w:cs="Calibri"/>
        </w:rPr>
        <w:t xml:space="preserve">Examples of evidence of conduct that may warrant a </w:t>
      </w:r>
      <w:r w:rsidR="7B03000C" w:rsidRPr="2AEFA46C">
        <w:rPr>
          <w:rFonts w:eastAsia="Calibri" w:cs="Calibri"/>
        </w:rPr>
        <w:t>determination of unsuitable or unfit</w:t>
      </w:r>
      <w:r w:rsidRPr="2AEFA46C">
        <w:rPr>
          <w:rFonts w:eastAsia="Calibri" w:cs="Calibri"/>
        </w:rPr>
        <w:t xml:space="preserve"> under this factor includes:</w:t>
      </w:r>
    </w:p>
    <w:p w14:paraId="7EC9D1B3" w14:textId="3C211023" w:rsidR="00EA1EA7" w:rsidRPr="003B3AC0" w:rsidRDefault="00537429" w:rsidP="00A06D8B">
      <w:pPr>
        <w:pStyle w:val="ListParagraph"/>
        <w:numPr>
          <w:ilvl w:val="0"/>
          <w:numId w:val="28"/>
        </w:numPr>
        <w:spacing w:after="0"/>
        <w:ind w:left="702"/>
        <w:contextualSpacing w:val="0"/>
        <w:rPr>
          <w:rFonts w:eastAsia="Calibri" w:cs="Calibri"/>
        </w:rPr>
      </w:pPr>
      <w:r>
        <w:rPr>
          <w:rFonts w:eastAsia="Calibri" w:cs="Calibri"/>
        </w:rPr>
        <w:t>T</w:t>
      </w:r>
      <w:r w:rsidR="00EA1EA7" w:rsidRPr="003B3AC0">
        <w:rPr>
          <w:rFonts w:eastAsia="Calibri" w:cs="Calibri"/>
        </w:rPr>
        <w:t xml:space="preserve">esting positive </w:t>
      </w:r>
      <w:r w:rsidR="00EA1EA7" w:rsidRPr="003B3AC0" w:rsidDel="00D44F70">
        <w:rPr>
          <w:rFonts w:eastAsia="Calibri" w:cs="Calibri"/>
        </w:rPr>
        <w:t xml:space="preserve">for </w:t>
      </w:r>
      <w:r w:rsidR="00D44F70" w:rsidRPr="003B3AC0">
        <w:rPr>
          <w:rFonts w:eastAsia="Calibri" w:cs="Calibri"/>
        </w:rPr>
        <w:t>a</w:t>
      </w:r>
      <w:r w:rsidR="00EA1EA7" w:rsidRPr="003B3AC0">
        <w:rPr>
          <w:rFonts w:eastAsia="Calibri" w:cs="Calibri"/>
        </w:rPr>
        <w:t xml:space="preserve"> drug(s) without a medically acceptable reason for doing so</w:t>
      </w:r>
      <w:r w:rsidR="00C06E6E" w:rsidRPr="003B3AC0">
        <w:rPr>
          <w:rFonts w:eastAsia="Calibri" w:cs="Calibri"/>
        </w:rPr>
        <w:t>.</w:t>
      </w:r>
    </w:p>
    <w:p w14:paraId="1F7EC327" w14:textId="5B74DBAA" w:rsidR="00EA1EA7" w:rsidRPr="003B3AC0" w:rsidRDefault="00CF3738" w:rsidP="00A06D8B">
      <w:pPr>
        <w:pStyle w:val="ListParagraph"/>
        <w:numPr>
          <w:ilvl w:val="0"/>
          <w:numId w:val="28"/>
        </w:numPr>
        <w:spacing w:after="0"/>
        <w:ind w:left="702"/>
        <w:contextualSpacing w:val="0"/>
        <w:rPr>
          <w:rFonts w:eastAsia="Calibri" w:cs="Calibri"/>
        </w:rPr>
      </w:pPr>
      <w:r>
        <w:rPr>
          <w:rFonts w:eastAsia="Calibri" w:cs="Calibri"/>
        </w:rPr>
        <w:t>F</w:t>
      </w:r>
      <w:r w:rsidR="00EA1EA7" w:rsidRPr="003B3AC0">
        <w:rPr>
          <w:rFonts w:eastAsia="Calibri" w:cs="Calibri"/>
        </w:rPr>
        <w:t>ailure to successfully complete a drug treatment program</w:t>
      </w:r>
      <w:r w:rsidR="00C06E6E" w:rsidRPr="003B3AC0">
        <w:rPr>
          <w:rFonts w:eastAsia="Calibri" w:cs="Calibri"/>
        </w:rPr>
        <w:t>.</w:t>
      </w:r>
    </w:p>
    <w:p w14:paraId="5D118436" w14:textId="2D1BF781" w:rsidR="00EA1EA7" w:rsidRPr="003B3AC0" w:rsidRDefault="001A4B11" w:rsidP="00A06D8B">
      <w:pPr>
        <w:pStyle w:val="ListParagraph"/>
        <w:numPr>
          <w:ilvl w:val="0"/>
          <w:numId w:val="28"/>
        </w:numPr>
        <w:spacing w:after="0"/>
        <w:ind w:left="702"/>
        <w:contextualSpacing w:val="0"/>
        <w:rPr>
          <w:rFonts w:eastAsia="Calibri" w:cs="Calibri"/>
        </w:rPr>
      </w:pPr>
      <w:r>
        <w:rPr>
          <w:rFonts w:eastAsia="Calibri" w:cs="Calibri"/>
        </w:rPr>
        <w:t>E</w:t>
      </w:r>
      <w:r w:rsidR="00EA1EA7" w:rsidRPr="003B3AC0">
        <w:rPr>
          <w:rFonts w:eastAsia="Calibri" w:cs="Calibri"/>
        </w:rPr>
        <w:t>xpressed intent to continue to illegally use drugs</w:t>
      </w:r>
      <w:r w:rsidR="001C4912" w:rsidRPr="003B3AC0">
        <w:rPr>
          <w:rFonts w:eastAsia="Calibri" w:cs="Calibri"/>
        </w:rPr>
        <w:t>.</w:t>
      </w:r>
    </w:p>
    <w:p w14:paraId="0409EBAE" w14:textId="24F2D52D" w:rsidR="00EA1EA7" w:rsidRPr="003B3AC0" w:rsidRDefault="001A4B11" w:rsidP="00A06D8B">
      <w:pPr>
        <w:pStyle w:val="ListParagraph"/>
        <w:numPr>
          <w:ilvl w:val="0"/>
          <w:numId w:val="28"/>
        </w:numPr>
        <w:spacing w:after="0"/>
        <w:ind w:left="702"/>
        <w:contextualSpacing w:val="0"/>
        <w:rPr>
          <w:rFonts w:eastAsia="Calibri" w:cs="Calibri"/>
        </w:rPr>
      </w:pPr>
      <w:r>
        <w:rPr>
          <w:rFonts w:eastAsia="Calibri" w:cs="Calibri"/>
        </w:rPr>
        <w:t>A</w:t>
      </w:r>
      <w:r w:rsidR="00EA1EA7" w:rsidRPr="003B3AC0">
        <w:rPr>
          <w:rFonts w:eastAsia="Calibri" w:cs="Calibri"/>
        </w:rPr>
        <w:t xml:space="preserve"> pattern of drug-related arrests</w:t>
      </w:r>
      <w:r w:rsidR="001C4912" w:rsidRPr="003B3AC0">
        <w:rPr>
          <w:rFonts w:eastAsia="Calibri" w:cs="Calibri"/>
        </w:rPr>
        <w:t>.</w:t>
      </w:r>
    </w:p>
    <w:p w14:paraId="0BA32072" w14:textId="12E8D380" w:rsidR="00EA1EA7" w:rsidRPr="003B3AC0" w:rsidRDefault="001A4B11" w:rsidP="00A06D8B">
      <w:pPr>
        <w:pStyle w:val="ListParagraph"/>
        <w:numPr>
          <w:ilvl w:val="0"/>
          <w:numId w:val="28"/>
        </w:numPr>
        <w:ind w:left="706"/>
        <w:contextualSpacing w:val="0"/>
        <w:rPr>
          <w:rFonts w:eastAsia="Calibri" w:cs="Calibri"/>
        </w:rPr>
      </w:pPr>
      <w:r>
        <w:rPr>
          <w:rFonts w:eastAsia="Calibri" w:cs="Calibri"/>
        </w:rPr>
        <w:t>W</w:t>
      </w:r>
      <w:r w:rsidR="00EA1EA7" w:rsidRPr="003B3AC0">
        <w:rPr>
          <w:rFonts w:eastAsia="Calibri" w:cs="Calibri"/>
        </w:rPr>
        <w:t>rite ups, counseling, or other disciplinary actions that clearly stem from problems in employment that are related to drug use</w:t>
      </w:r>
      <w:r w:rsidR="001C4912" w:rsidRPr="003B3AC0">
        <w:rPr>
          <w:rFonts w:eastAsia="Calibri" w:cs="Calibri"/>
        </w:rPr>
        <w:t>.</w:t>
      </w:r>
    </w:p>
    <w:p w14:paraId="7A27AA4D" w14:textId="54550A22" w:rsidR="00F17578" w:rsidRPr="00D63E50" w:rsidRDefault="00EA1EA7" w:rsidP="00D63E50">
      <w:r w:rsidRPr="2AEFA46C">
        <w:rPr>
          <w:rFonts w:eastAsia="Calibri" w:cs="Calibri"/>
          <w:b/>
          <w:bCs/>
        </w:rPr>
        <w:t>Cases involving Marijuana:</w:t>
      </w:r>
      <w:r w:rsidRPr="003B3AC0">
        <w:rPr>
          <w:rFonts w:eastAsia="Calibri" w:cs="Calibri"/>
        </w:rPr>
        <w:t xml:space="preserve"> As more state laws regarding medical and recreational use of marijuana by adults have changed, federal agencies are increasingly encountering individuals whose knowledge, skills and abilities make them well-qualified for a position, but whose marijuana use may or may not be of concern when considering the suitability or fitness of the individual. OPM’s regulations do not permit agencies to automatically find individuals unsuitable</w:t>
      </w:r>
      <w:r w:rsidR="2CBDC1FD" w:rsidRPr="003B3AC0">
        <w:rPr>
          <w:rFonts w:eastAsia="Calibri" w:cs="Calibri"/>
        </w:rPr>
        <w:t xml:space="preserve"> or unfit</w:t>
      </w:r>
      <w:r w:rsidRPr="003B3AC0">
        <w:rPr>
          <w:rFonts w:eastAsia="Calibri" w:cs="Calibri"/>
        </w:rPr>
        <w:t xml:space="preserve"> unless there is a nexus between the conduct and the integrity or efficiency of the service. Past marijuana use, including recently discontinued marijuana use, should be viewed differently from ongoing marijuana use. In addition to other additional considerations deemed pertinent, agencies must </w:t>
      </w:r>
      <w:r w:rsidRPr="003B3AC0">
        <w:rPr>
          <w:rFonts w:eastAsia="Calibri" w:cs="Calibri"/>
        </w:rPr>
        <w:lastRenderedPageBreak/>
        <w:t>consider all possible indicators of rehabilitation, such as whether there is evidence that use will not occur again, there is a passage of time without use, the individual has completed or participated in treatment or counseling, and/or the individual has made a commitment to not use marijuana going forward. Agencies should also consider the requirements set forth in Executive Order 12564, Drug Free Federal Workplace, which mandates that Federal employees are to refrain from use of illegal drugs; the use of illegal drugs by Federal employees, whether on or off duty, is contrary to the efficiency of the service; and persons who use illegal drugs are not suitable for Federal service. However, the E.O. emphasizes that discipline is not required for employees who voluntarily seek counseling or rehabilitation and thereafter refrain from using illegal drugs. See</w:t>
      </w:r>
      <w:r w:rsidRPr="36A80A07">
        <w:rPr>
          <w:rFonts w:eastAsia="Calibri" w:cs="Calibri"/>
          <w:i/>
          <w:iCs/>
        </w:rPr>
        <w:t xml:space="preserve"> </w:t>
      </w:r>
      <w:hyperlink r:id="rId22">
        <w:r w:rsidRPr="2AEFA46C">
          <w:rPr>
            <w:rStyle w:val="Hyperlink"/>
            <w:rFonts w:eastAsia="Calibri" w:cs="Calibri"/>
          </w:rPr>
          <w:t>Assessing the Suitability/Fitness of Applicants or Appointees on the Basis of Marijuana Use; Maintaining a Drug-Free Workplace</w:t>
        </w:r>
      </w:hyperlink>
      <w:r w:rsidRPr="2AEFA46C">
        <w:rPr>
          <w:rFonts w:eastAsia="Calibri" w:cs="Calibri"/>
        </w:rPr>
        <w:t xml:space="preserve"> </w:t>
      </w:r>
      <w:r w:rsidRPr="003B3AC0">
        <w:rPr>
          <w:rFonts w:eastAsia="Calibri" w:cs="Calibri"/>
        </w:rPr>
        <w:t>for more information.</w:t>
      </w:r>
    </w:p>
    <w:p w14:paraId="6F0089D7" w14:textId="09FA7203" w:rsidR="00EA1EA7" w:rsidRPr="00804F31" w:rsidRDefault="00EA1EA7" w:rsidP="00C17B73">
      <w:pPr>
        <w:pStyle w:val="Heading4"/>
      </w:pPr>
      <w:bookmarkStart w:id="82" w:name="_Toc187052962"/>
      <w:r w:rsidRPr="00804F31">
        <w:t>Potential Suitability/Fitness Concerns</w:t>
      </w:r>
      <w:bookmarkEnd w:id="82"/>
    </w:p>
    <w:p w14:paraId="74BCCD90" w14:textId="309F1CE7" w:rsidR="00EA1EA7" w:rsidRPr="003B3AC0" w:rsidRDefault="00EA1EA7" w:rsidP="00F17578">
      <w:pPr>
        <w:spacing w:after="60"/>
        <w:rPr>
          <w:rFonts w:eastAsia="Source Serif Pro" w:cs="Source Serif Pro"/>
          <w:color w:val="000000" w:themeColor="text1"/>
        </w:rPr>
      </w:pPr>
      <w:r w:rsidRPr="003B3AC0">
        <w:rPr>
          <w:rFonts w:eastAsia="Source Serif Pro" w:cs="Source Serif Pro"/>
          <w:b/>
          <w:i/>
          <w:color w:val="000000" w:themeColor="text1"/>
        </w:rPr>
        <w:t>Examples of conditions that could raise a concern and may lead to an unfavorable determination include:</w:t>
      </w:r>
    </w:p>
    <w:p w14:paraId="0A270B7F" w14:textId="77777777" w:rsidR="00EA1EA7" w:rsidRPr="003B3AC0" w:rsidRDefault="00EA1EA7" w:rsidP="00A06D8B">
      <w:pPr>
        <w:pStyle w:val="ListParagraph"/>
        <w:numPr>
          <w:ilvl w:val="0"/>
          <w:numId w:val="35"/>
        </w:numPr>
        <w:spacing w:after="0"/>
        <w:ind w:left="720"/>
        <w:contextualSpacing w:val="0"/>
        <w:rPr>
          <w:rFonts w:eastAsia="Source Serif Pro" w:cs="Source Serif Pro"/>
          <w:color w:val="000000" w:themeColor="text1"/>
        </w:rPr>
      </w:pPr>
      <w:r w:rsidRPr="003B3AC0">
        <w:rPr>
          <w:rFonts w:eastAsia="Source Serif Pro" w:cs="Source Serif Pro"/>
          <w:color w:val="000000" w:themeColor="text1"/>
        </w:rPr>
        <w:t>A recent use.</w:t>
      </w:r>
    </w:p>
    <w:p w14:paraId="16F0CD33" w14:textId="77777777" w:rsidR="00EA1EA7" w:rsidRPr="003B3AC0" w:rsidRDefault="00EA1EA7" w:rsidP="00A06D8B">
      <w:pPr>
        <w:pStyle w:val="ListParagraph"/>
        <w:numPr>
          <w:ilvl w:val="0"/>
          <w:numId w:val="35"/>
        </w:numPr>
        <w:spacing w:after="0"/>
        <w:ind w:left="720"/>
        <w:contextualSpacing w:val="0"/>
        <w:rPr>
          <w:rFonts w:eastAsia="Source Serif Pro" w:cs="Source Serif Pro"/>
          <w:color w:val="000000" w:themeColor="text1"/>
        </w:rPr>
      </w:pPr>
      <w:r w:rsidRPr="003B3AC0">
        <w:rPr>
          <w:rFonts w:eastAsia="Source Serif Pro" w:cs="Source Serif Pro"/>
          <w:color w:val="000000" w:themeColor="text1"/>
        </w:rPr>
        <w:t>A pattern of drug-related arrests and/or problems in employment that are related to drug use.</w:t>
      </w:r>
    </w:p>
    <w:p w14:paraId="2EFCCAA3" w14:textId="77777777" w:rsidR="00EA1EA7" w:rsidRPr="003B3AC0" w:rsidRDefault="00EA1EA7" w:rsidP="00A06D8B">
      <w:pPr>
        <w:pStyle w:val="ListParagraph"/>
        <w:numPr>
          <w:ilvl w:val="0"/>
          <w:numId w:val="35"/>
        </w:numPr>
        <w:spacing w:after="0"/>
        <w:ind w:left="720"/>
        <w:contextualSpacing w:val="0"/>
        <w:rPr>
          <w:rFonts w:eastAsia="Source Serif Pro" w:cs="Source Serif Pro"/>
          <w:color w:val="000000" w:themeColor="text1"/>
        </w:rPr>
      </w:pPr>
      <w:r w:rsidRPr="003B3AC0">
        <w:rPr>
          <w:rFonts w:eastAsia="Source Serif Pro" w:cs="Source Serif Pro"/>
          <w:color w:val="000000" w:themeColor="text1"/>
        </w:rPr>
        <w:t>Testing positive for an illegal drug.</w:t>
      </w:r>
    </w:p>
    <w:p w14:paraId="32F69007" w14:textId="77777777" w:rsidR="00EA1EA7" w:rsidRPr="003B3AC0" w:rsidRDefault="00EA1EA7" w:rsidP="00A06D8B">
      <w:pPr>
        <w:pStyle w:val="ListParagraph"/>
        <w:numPr>
          <w:ilvl w:val="0"/>
          <w:numId w:val="35"/>
        </w:numPr>
        <w:spacing w:after="0"/>
        <w:ind w:left="720"/>
        <w:contextualSpacing w:val="0"/>
        <w:rPr>
          <w:rFonts w:eastAsia="Source Serif Pro" w:cs="Source Serif Pro"/>
          <w:color w:val="000000" w:themeColor="text1"/>
        </w:rPr>
      </w:pPr>
      <w:r w:rsidRPr="003B3AC0">
        <w:rPr>
          <w:rFonts w:eastAsia="Source Serif Pro" w:cs="Source Serif Pro"/>
          <w:color w:val="000000" w:themeColor="text1"/>
        </w:rPr>
        <w:t>Failure to successfully complete a drug treatment program prescribed by a duly qualified professional.</w:t>
      </w:r>
    </w:p>
    <w:p w14:paraId="38003AF4" w14:textId="77777777" w:rsidR="00EA1EA7" w:rsidRPr="003B3AC0" w:rsidRDefault="00EA1EA7" w:rsidP="00A06D8B">
      <w:pPr>
        <w:pStyle w:val="ListParagraph"/>
        <w:numPr>
          <w:ilvl w:val="0"/>
          <w:numId w:val="35"/>
        </w:numPr>
        <w:spacing w:after="0"/>
        <w:ind w:left="720"/>
        <w:contextualSpacing w:val="0"/>
        <w:rPr>
          <w:rFonts w:eastAsia="Source Serif Pro" w:cs="Source Serif Pro"/>
          <w:color w:val="000000" w:themeColor="text1"/>
        </w:rPr>
      </w:pPr>
      <w:r w:rsidRPr="003B3AC0">
        <w:rPr>
          <w:rFonts w:eastAsia="Source Serif Pro" w:cs="Source Serif Pro"/>
          <w:color w:val="000000" w:themeColor="text1"/>
        </w:rPr>
        <w:t>Expressed intent to continue illegal drug involvement.</w:t>
      </w:r>
    </w:p>
    <w:p w14:paraId="7BE27762" w14:textId="77777777" w:rsidR="00EA1EA7" w:rsidRPr="003B3AC0" w:rsidRDefault="00EA1EA7" w:rsidP="00A06D8B">
      <w:pPr>
        <w:pStyle w:val="ListParagraph"/>
        <w:numPr>
          <w:ilvl w:val="0"/>
          <w:numId w:val="35"/>
        </w:numPr>
        <w:ind w:left="720"/>
        <w:contextualSpacing w:val="0"/>
        <w:rPr>
          <w:rFonts w:eastAsia="Source Serif Pro" w:cs="Source Serif Pro"/>
          <w:color w:val="000000" w:themeColor="text1"/>
        </w:rPr>
      </w:pPr>
      <w:r w:rsidRPr="003B3AC0">
        <w:rPr>
          <w:rFonts w:eastAsia="Source Serif Pro" w:cs="Source Serif Pro"/>
          <w:color w:val="000000" w:themeColor="text1"/>
        </w:rPr>
        <w:t>There is increased concern based on the authority, responsibility, sensitivity, and public trust associated with the position or a direct nexus to the core duties of the position or agency mission.</w:t>
      </w:r>
    </w:p>
    <w:p w14:paraId="3A0AD526" w14:textId="77777777" w:rsidR="00EA1EA7" w:rsidRDefault="00EA1EA7" w:rsidP="00C17B73">
      <w:pPr>
        <w:pStyle w:val="Heading4"/>
      </w:pPr>
      <w:bookmarkStart w:id="83" w:name="_Toc187052963"/>
      <w:r w:rsidRPr="02DB6E7A">
        <w:t>Mitigating Conditions</w:t>
      </w:r>
      <w:bookmarkEnd w:id="83"/>
      <w:r w:rsidRPr="02DB6E7A">
        <w:t xml:space="preserve"> </w:t>
      </w:r>
    </w:p>
    <w:p w14:paraId="4C9FF808" w14:textId="77777777" w:rsidR="00EA1EA7" w:rsidRPr="003B3AC0" w:rsidRDefault="00EA1EA7" w:rsidP="00B176CC">
      <w:pPr>
        <w:spacing w:after="0"/>
        <w:contextualSpacing/>
        <w:rPr>
          <w:rFonts w:eastAsia="Source Serif Pro" w:cs="Source Serif Pro"/>
          <w:b/>
          <w:i/>
          <w:color w:val="000000" w:themeColor="text1"/>
        </w:rPr>
      </w:pPr>
      <w:r w:rsidRPr="003B3AC0">
        <w:rPr>
          <w:rFonts w:eastAsia="Source Serif Pro" w:cs="Source Serif Pro"/>
          <w:b/>
          <w:i/>
          <w:color w:val="000000" w:themeColor="text1"/>
        </w:rPr>
        <w:t>Examples of conditions that could mitigate concerns, as determined by applying pertinent additional considerations:</w:t>
      </w:r>
    </w:p>
    <w:p w14:paraId="2FFB33F5" w14:textId="77777777" w:rsidR="00EA1EA7" w:rsidRPr="003B3AC0" w:rsidRDefault="00EA1EA7" w:rsidP="00A06D8B">
      <w:pPr>
        <w:pStyle w:val="ListParagraph"/>
        <w:numPr>
          <w:ilvl w:val="0"/>
          <w:numId w:val="34"/>
        </w:numPr>
        <w:spacing w:after="0"/>
        <w:ind w:left="720"/>
        <w:contextualSpacing w:val="0"/>
        <w:rPr>
          <w:rFonts w:eastAsia="Source Serif Pro" w:cs="Source Serif Pro"/>
          <w:color w:val="000000" w:themeColor="text1"/>
        </w:rPr>
      </w:pPr>
      <w:r w:rsidRPr="003B3AC0">
        <w:rPr>
          <w:rFonts w:eastAsia="Source Serif Pro" w:cs="Source Serif Pro"/>
          <w:color w:val="000000" w:themeColor="text1"/>
        </w:rPr>
        <w:t>So much time has passed since the conduct.</w:t>
      </w:r>
    </w:p>
    <w:p w14:paraId="53050ACE" w14:textId="77777777" w:rsidR="00EA1EA7" w:rsidRPr="003B3AC0" w:rsidRDefault="00EA1EA7" w:rsidP="00A06D8B">
      <w:pPr>
        <w:pStyle w:val="ListParagraph"/>
        <w:numPr>
          <w:ilvl w:val="0"/>
          <w:numId w:val="34"/>
        </w:numPr>
        <w:spacing w:after="0"/>
        <w:ind w:left="720"/>
        <w:contextualSpacing w:val="0"/>
        <w:rPr>
          <w:rFonts w:eastAsia="Source Serif Pro" w:cs="Source Serif Pro"/>
          <w:color w:val="000000" w:themeColor="text1"/>
        </w:rPr>
      </w:pPr>
      <w:r w:rsidRPr="003B3AC0">
        <w:rPr>
          <w:rFonts w:eastAsia="Source Serif Pro" w:cs="Source Serif Pro"/>
          <w:color w:val="000000" w:themeColor="text1"/>
        </w:rPr>
        <w:t>The behavior was infrequent.</w:t>
      </w:r>
    </w:p>
    <w:p w14:paraId="037C61A6" w14:textId="6E5190C2" w:rsidR="00EA1EA7" w:rsidRPr="003B3AC0" w:rsidRDefault="00EA1EA7" w:rsidP="00A06D8B">
      <w:pPr>
        <w:pStyle w:val="ListParagraph"/>
        <w:numPr>
          <w:ilvl w:val="0"/>
          <w:numId w:val="34"/>
        </w:numPr>
        <w:spacing w:after="0"/>
        <w:ind w:left="720"/>
        <w:contextualSpacing w:val="0"/>
        <w:rPr>
          <w:rFonts w:eastAsia="Source Serif Pro" w:cs="Source Serif Pro"/>
          <w:color w:val="000000" w:themeColor="text1"/>
        </w:rPr>
      </w:pPr>
      <w:r w:rsidRPr="003B3AC0">
        <w:rPr>
          <w:rFonts w:eastAsia="Source Serif Pro" w:cs="Source Serif Pro"/>
          <w:color w:val="000000" w:themeColor="text1"/>
        </w:rPr>
        <w:t xml:space="preserve">The conduct happened under such unique circumstances that it is unlikely to recur and does not cast doubt on the individual’s character or suggest the individual’s employment would adversely impact the integrity or efficiency of the service. </w:t>
      </w:r>
    </w:p>
    <w:p w14:paraId="55BAC47E" w14:textId="3F29A6D1" w:rsidR="00EA1EA7" w:rsidRPr="003B3AC0" w:rsidRDefault="00EA1EA7" w:rsidP="00A06D8B">
      <w:pPr>
        <w:pStyle w:val="ListParagraph"/>
        <w:numPr>
          <w:ilvl w:val="0"/>
          <w:numId w:val="34"/>
        </w:numPr>
        <w:spacing w:after="0"/>
        <w:ind w:left="720"/>
        <w:contextualSpacing w:val="0"/>
        <w:rPr>
          <w:rFonts w:eastAsia="Source Serif Pro" w:cs="Source Serif Pro"/>
          <w:color w:val="000000" w:themeColor="text1"/>
        </w:rPr>
      </w:pPr>
      <w:r w:rsidRPr="003B3AC0">
        <w:rPr>
          <w:rFonts w:eastAsia="Source Serif Pro" w:cs="Source Serif Pro"/>
          <w:color w:val="000000" w:themeColor="text1"/>
        </w:rPr>
        <w:t xml:space="preserve">There exists no increased concern based on the authority, responsibility, sensitivity, and public trust associated with the position or a direct nexus to the core duties of the position or agency mission. </w:t>
      </w:r>
    </w:p>
    <w:p w14:paraId="7910EF89" w14:textId="4833D36F" w:rsidR="00EA1EA7" w:rsidRPr="003B3AC0" w:rsidRDefault="00EA1EA7" w:rsidP="00A06D8B">
      <w:pPr>
        <w:pStyle w:val="ListParagraph"/>
        <w:numPr>
          <w:ilvl w:val="0"/>
          <w:numId w:val="34"/>
        </w:numPr>
        <w:spacing w:after="240"/>
        <w:ind w:left="720"/>
        <w:contextualSpacing w:val="0"/>
        <w:rPr>
          <w:rFonts w:eastAsia="Source Serif Pro" w:cs="Source Serif Pro"/>
          <w:color w:val="000000" w:themeColor="text1"/>
        </w:rPr>
      </w:pPr>
      <w:r w:rsidRPr="003B3AC0">
        <w:rPr>
          <w:rFonts w:eastAsia="Source Serif Pro" w:cs="Source Serif Pro"/>
          <w:color w:val="000000" w:themeColor="text1"/>
        </w:rPr>
        <w:t>Rehabilitation will always be a consideration with this factor. There is evidence of successful rehabilitation; including, but not limited to, passage of time without reoccurrence of employment misconduct or negligence, compliance with terms of employment improvement plan, job training or good employment record.</w:t>
      </w:r>
    </w:p>
    <w:p w14:paraId="569D22A6" w14:textId="77777777" w:rsidR="00EA1EA7" w:rsidRPr="00C17B73" w:rsidRDefault="00EA1EA7" w:rsidP="00C17B73">
      <w:pPr>
        <w:pStyle w:val="Heading3"/>
        <w:rPr>
          <w:u w:val="single"/>
        </w:rPr>
      </w:pPr>
      <w:bookmarkStart w:id="84" w:name="_Toc187052964"/>
      <w:bookmarkStart w:id="85" w:name="_Toc187924150"/>
      <w:r w:rsidRPr="36A80A07">
        <w:rPr>
          <w:u w:val="single"/>
        </w:rPr>
        <w:lastRenderedPageBreak/>
        <w:t>FACTOR 7: KNOWING AND WILLFUL ENGAGEMENT IN ACTS OR ACTIVITY DESIGNED TO OVERTHROW THE U.S. GOVERNMENT BY FORCE</w:t>
      </w:r>
      <w:bookmarkEnd w:id="84"/>
      <w:bookmarkEnd w:id="85"/>
    </w:p>
    <w:p w14:paraId="654715CA" w14:textId="77777777" w:rsidR="00EA1EA7" w:rsidRDefault="00EA1EA7" w:rsidP="00C17B73">
      <w:pPr>
        <w:pStyle w:val="Heading4"/>
      </w:pPr>
      <w:bookmarkStart w:id="86" w:name="_Toc187052965"/>
      <w:r w:rsidRPr="02DB6E7A">
        <w:rPr>
          <w:rFonts w:eastAsia="Source Sans Pro" w:cs="Source Sans Pro"/>
          <w:szCs w:val="32"/>
        </w:rPr>
        <w:t>Concern</w:t>
      </w:r>
      <w:bookmarkEnd w:id="86"/>
    </w:p>
    <w:p w14:paraId="731BDE44" w14:textId="42B1CC6F" w:rsidR="00EA1EA7" w:rsidRPr="003B3AC0" w:rsidRDefault="00EA1EA7" w:rsidP="00F17578">
      <w:pPr>
        <w:rPr>
          <w:rFonts w:eastAsia="Source Serif Pro" w:cs="Source Serif Pro"/>
          <w:color w:val="000000" w:themeColor="text1"/>
        </w:rPr>
      </w:pPr>
      <w:r w:rsidRPr="2AEFA46C">
        <w:rPr>
          <w:rFonts w:eastAsia="Source Serif Pro" w:cs="Source Serif Pro"/>
          <w:color w:val="000000" w:themeColor="text1"/>
        </w:rPr>
        <w:t>All Federal employees must be loyal to the United States. OPM retains jurisdiction</w:t>
      </w:r>
      <w:r w:rsidR="194CF848" w:rsidRPr="2AEFA46C">
        <w:rPr>
          <w:rFonts w:eastAsia="Source Serif Pro" w:cs="Source Serif Pro"/>
          <w:color w:val="000000" w:themeColor="text1"/>
        </w:rPr>
        <w:t xml:space="preserve"> to make suitability determinations and take suitability actions</w:t>
      </w:r>
      <w:r w:rsidRPr="2AEFA46C">
        <w:rPr>
          <w:rFonts w:eastAsia="Source Serif Pro" w:cs="Source Serif Pro"/>
          <w:color w:val="000000" w:themeColor="text1"/>
        </w:rPr>
        <w:t xml:space="preserve"> in competitive service positions, positions in the excepted service that may noncompetitively convert to the competitive service, and career appointments to the Senior Executive Service if the case involves evidence of </w:t>
      </w:r>
      <w:r w:rsidR="49198DCD" w:rsidRPr="2AEFA46C">
        <w:rPr>
          <w:rFonts w:eastAsia="Source Serif Pro" w:cs="Source Serif Pro"/>
          <w:color w:val="000000" w:themeColor="text1"/>
        </w:rPr>
        <w:t>conduct falling within this factor</w:t>
      </w:r>
      <w:r w:rsidRPr="2AEFA46C">
        <w:rPr>
          <w:rFonts w:eastAsia="Source Serif Pro" w:cs="Source Serif Pro"/>
          <w:color w:val="000000" w:themeColor="text1"/>
        </w:rPr>
        <w:t xml:space="preserve">. </w:t>
      </w:r>
      <w:r w:rsidRPr="2AEFA46C">
        <w:rPr>
          <w:rFonts w:eastAsia="Source Serif Pro" w:cs="Source Serif Pro"/>
          <w:b/>
          <w:bCs/>
          <w:color w:val="000000" w:themeColor="text1"/>
        </w:rPr>
        <w:t>Agencies must refer these cases to OPM for adjudication, or provide required notification to OPM, if the agency wants to take or has taken action under another authority (such as 5 C</w:t>
      </w:r>
      <w:r w:rsidR="009B4CE5" w:rsidRPr="2AEFA46C">
        <w:rPr>
          <w:rFonts w:eastAsia="Source Serif Pro" w:cs="Source Serif Pro"/>
          <w:b/>
          <w:bCs/>
          <w:color w:val="000000" w:themeColor="text1"/>
        </w:rPr>
        <w:t>.</w:t>
      </w:r>
      <w:r w:rsidRPr="2AEFA46C">
        <w:rPr>
          <w:rFonts w:eastAsia="Source Serif Pro" w:cs="Source Serif Pro"/>
          <w:b/>
          <w:bCs/>
          <w:color w:val="000000" w:themeColor="text1"/>
        </w:rPr>
        <w:t>F</w:t>
      </w:r>
      <w:r w:rsidR="009B4CE5" w:rsidRPr="2AEFA46C">
        <w:rPr>
          <w:rFonts w:eastAsia="Source Serif Pro" w:cs="Source Serif Pro"/>
          <w:b/>
          <w:bCs/>
          <w:color w:val="000000" w:themeColor="text1"/>
        </w:rPr>
        <w:t>.</w:t>
      </w:r>
      <w:r w:rsidRPr="2AEFA46C">
        <w:rPr>
          <w:rFonts w:eastAsia="Source Serif Pro" w:cs="Source Serif Pro"/>
          <w:b/>
          <w:bCs/>
          <w:color w:val="000000" w:themeColor="text1"/>
        </w:rPr>
        <w:t>R</w:t>
      </w:r>
      <w:r w:rsidR="009B4CE5" w:rsidRPr="2AEFA46C">
        <w:rPr>
          <w:rFonts w:eastAsia="Source Serif Pro" w:cs="Source Serif Pro"/>
          <w:b/>
          <w:bCs/>
          <w:color w:val="000000" w:themeColor="text1"/>
        </w:rPr>
        <w:t>.</w:t>
      </w:r>
      <w:r w:rsidRPr="2AEFA46C">
        <w:rPr>
          <w:rFonts w:eastAsia="Source Serif Pro" w:cs="Source Serif Pro"/>
          <w:b/>
          <w:bCs/>
          <w:color w:val="000000" w:themeColor="text1"/>
        </w:rPr>
        <w:t xml:space="preserve"> part 315, 5 C</w:t>
      </w:r>
      <w:r w:rsidR="009B4CE5" w:rsidRPr="2AEFA46C">
        <w:rPr>
          <w:rFonts w:eastAsia="Source Serif Pro" w:cs="Source Serif Pro"/>
          <w:b/>
          <w:bCs/>
          <w:color w:val="000000" w:themeColor="text1"/>
        </w:rPr>
        <w:t>.</w:t>
      </w:r>
      <w:r w:rsidRPr="2AEFA46C">
        <w:rPr>
          <w:rFonts w:eastAsia="Source Serif Pro" w:cs="Source Serif Pro"/>
          <w:b/>
          <w:bCs/>
          <w:color w:val="000000" w:themeColor="text1"/>
        </w:rPr>
        <w:t>F</w:t>
      </w:r>
      <w:r w:rsidR="009B4CE5" w:rsidRPr="2AEFA46C">
        <w:rPr>
          <w:rFonts w:eastAsia="Source Serif Pro" w:cs="Source Serif Pro"/>
          <w:b/>
          <w:bCs/>
          <w:color w:val="000000" w:themeColor="text1"/>
        </w:rPr>
        <w:t>.</w:t>
      </w:r>
      <w:r w:rsidRPr="2AEFA46C">
        <w:rPr>
          <w:rFonts w:eastAsia="Source Serif Pro" w:cs="Source Serif Pro"/>
          <w:b/>
          <w:bCs/>
          <w:color w:val="000000" w:themeColor="text1"/>
        </w:rPr>
        <w:t>R</w:t>
      </w:r>
      <w:r w:rsidR="009B4CE5" w:rsidRPr="2AEFA46C">
        <w:rPr>
          <w:rFonts w:eastAsia="Source Serif Pro" w:cs="Source Serif Pro"/>
          <w:b/>
          <w:bCs/>
          <w:color w:val="000000" w:themeColor="text1"/>
        </w:rPr>
        <w:t>.</w:t>
      </w:r>
      <w:r w:rsidRPr="2AEFA46C">
        <w:rPr>
          <w:rFonts w:eastAsia="Source Serif Pro" w:cs="Source Serif Pro"/>
          <w:b/>
          <w:bCs/>
          <w:color w:val="000000" w:themeColor="text1"/>
        </w:rPr>
        <w:t xml:space="preserve"> part 359, or 5 C</w:t>
      </w:r>
      <w:r w:rsidR="009B4CE5" w:rsidRPr="2AEFA46C">
        <w:rPr>
          <w:rFonts w:eastAsia="Source Serif Pro" w:cs="Source Serif Pro"/>
          <w:b/>
          <w:bCs/>
          <w:color w:val="000000" w:themeColor="text1"/>
        </w:rPr>
        <w:t>.</w:t>
      </w:r>
      <w:r w:rsidRPr="2AEFA46C">
        <w:rPr>
          <w:rFonts w:eastAsia="Source Serif Pro" w:cs="Source Serif Pro"/>
          <w:b/>
          <w:bCs/>
          <w:color w:val="000000" w:themeColor="text1"/>
        </w:rPr>
        <w:t>F</w:t>
      </w:r>
      <w:r w:rsidR="009B4CE5" w:rsidRPr="2AEFA46C">
        <w:rPr>
          <w:rFonts w:eastAsia="Source Serif Pro" w:cs="Source Serif Pro"/>
          <w:b/>
          <w:bCs/>
          <w:color w:val="000000" w:themeColor="text1"/>
        </w:rPr>
        <w:t>.</w:t>
      </w:r>
      <w:r w:rsidRPr="2AEFA46C">
        <w:rPr>
          <w:rFonts w:eastAsia="Source Serif Pro" w:cs="Source Serif Pro"/>
          <w:b/>
          <w:bCs/>
          <w:color w:val="000000" w:themeColor="text1"/>
        </w:rPr>
        <w:t>R</w:t>
      </w:r>
      <w:r w:rsidR="009B4CE5" w:rsidRPr="2AEFA46C">
        <w:rPr>
          <w:rFonts w:eastAsia="Source Serif Pro" w:cs="Source Serif Pro"/>
          <w:b/>
          <w:bCs/>
          <w:color w:val="000000" w:themeColor="text1"/>
        </w:rPr>
        <w:t>.</w:t>
      </w:r>
      <w:r w:rsidRPr="2AEFA46C">
        <w:rPr>
          <w:rFonts w:eastAsia="Source Serif Pro" w:cs="Source Serif Pro"/>
          <w:b/>
          <w:bCs/>
          <w:color w:val="000000" w:themeColor="text1"/>
        </w:rPr>
        <w:t xml:space="preserve"> part 752). </w:t>
      </w:r>
      <w:r w:rsidRPr="2AEFA46C">
        <w:rPr>
          <w:rFonts w:eastAsia="Source Serif Pro" w:cs="Source Serif Pro"/>
          <w:color w:val="000000" w:themeColor="text1"/>
        </w:rPr>
        <w:t>For excepted service, contractor, or DOD nonappropriated fund positions, agenc</w:t>
      </w:r>
      <w:r w:rsidR="005D50B0" w:rsidRPr="2AEFA46C">
        <w:rPr>
          <w:rFonts w:eastAsia="Source Serif Pro" w:cs="Source Serif Pro"/>
          <w:color w:val="000000" w:themeColor="text1"/>
        </w:rPr>
        <w:t>ies</w:t>
      </w:r>
      <w:r w:rsidRPr="2AEFA46C">
        <w:rPr>
          <w:rFonts w:eastAsia="Source Serif Pro" w:cs="Source Serif Pro"/>
          <w:color w:val="000000" w:themeColor="text1"/>
        </w:rPr>
        <w:t xml:space="preserve"> may cite this factor, as applicable.</w:t>
      </w:r>
    </w:p>
    <w:p w14:paraId="0F2AC886" w14:textId="77777777" w:rsidR="00EA1EA7" w:rsidRPr="00804F31" w:rsidRDefault="00EA1EA7" w:rsidP="00C17B73">
      <w:pPr>
        <w:pStyle w:val="Heading4"/>
      </w:pPr>
      <w:bookmarkStart w:id="87" w:name="_Toc187052966"/>
      <w:r w:rsidRPr="00804F31">
        <w:rPr>
          <w:rFonts w:eastAsia="Source Sans Pro" w:cs="Source Sans Pro"/>
          <w:szCs w:val="32"/>
        </w:rPr>
        <w:t>General Application / Discussion</w:t>
      </w:r>
      <w:bookmarkEnd w:id="87"/>
    </w:p>
    <w:p w14:paraId="775B6CDB" w14:textId="458F4258" w:rsidR="00EA1EA7" w:rsidRPr="002C227D" w:rsidRDefault="000E7CCE" w:rsidP="000D7619">
      <w:pPr>
        <w:pStyle w:val="Default"/>
        <w:spacing w:after="200" w:line="252" w:lineRule="auto"/>
        <w:rPr>
          <w:rFonts w:ascii="Source Serif Pro" w:hAnsi="Source Serif Pro"/>
          <w:sz w:val="22"/>
          <w:szCs w:val="22"/>
        </w:rPr>
      </w:pPr>
      <w:r w:rsidRPr="2C4E27A7">
        <w:rPr>
          <w:rFonts w:ascii="Source Serif Pro" w:hAnsi="Source Serif Pro"/>
          <w:sz w:val="22"/>
          <w:szCs w:val="22"/>
        </w:rPr>
        <w:t xml:space="preserve">Disqualifying acts must be overt, defined illegal acts. Disqualifying advocacy must be the incitement or indoctrination to commit defined illegal acts. Disqualifying association requires the individual to know of the organization’s unlawful goals, and for the individual to be an active member of the organization or to have the specific intent to further its unlawful goals. </w:t>
      </w:r>
      <w:r w:rsidRPr="002C227D">
        <w:rPr>
          <w:rFonts w:ascii="Source Serif Pro" w:hAnsi="Source Serif Pro"/>
          <w:sz w:val="22"/>
          <w:szCs w:val="22"/>
        </w:rPr>
        <w:t xml:space="preserve">Membership in organizations, alone, is not disqualifying. </w:t>
      </w:r>
    </w:p>
    <w:p w14:paraId="72B27707" w14:textId="1C0D4EA8" w:rsidR="00EA1EA7" w:rsidRPr="00804F31" w:rsidRDefault="00EA1EA7" w:rsidP="00C17B73">
      <w:pPr>
        <w:pStyle w:val="Heading4"/>
      </w:pPr>
      <w:bookmarkStart w:id="88" w:name="_Toc187052967"/>
      <w:r w:rsidRPr="00804F31">
        <w:t>Potential Suitability/Fitness Concerns</w:t>
      </w:r>
      <w:bookmarkEnd w:id="88"/>
    </w:p>
    <w:p w14:paraId="19886FDE" w14:textId="08021A81" w:rsidR="00EA1EA7" w:rsidRPr="007E5A69" w:rsidRDefault="00EA1EA7" w:rsidP="000D7619">
      <w:pPr>
        <w:spacing w:after="60"/>
        <w:rPr>
          <w:rFonts w:eastAsia="Source Serif Pro" w:cs="Source Serif Pro"/>
          <w:color w:val="000000" w:themeColor="text1"/>
        </w:rPr>
      </w:pPr>
      <w:r w:rsidRPr="007E5A69">
        <w:rPr>
          <w:rFonts w:eastAsia="Source Serif Pro" w:cs="Source Serif Pro"/>
          <w:b/>
          <w:i/>
          <w:color w:val="000000" w:themeColor="text1"/>
        </w:rPr>
        <w:t>Examples of conditions that could raise a concern and may lead to an unfavorable determination include:</w:t>
      </w:r>
    </w:p>
    <w:p w14:paraId="22385072" w14:textId="74FB7B3C" w:rsidR="00EA1EA7" w:rsidRPr="007E5A69" w:rsidRDefault="00EA1EA7" w:rsidP="2AEFA46C">
      <w:pPr>
        <w:pStyle w:val="ListParagraph"/>
        <w:numPr>
          <w:ilvl w:val="0"/>
          <w:numId w:val="33"/>
        </w:numPr>
        <w:ind w:left="720"/>
        <w:rPr>
          <w:rFonts w:eastAsia="Source Serif Pro" w:cs="Source Serif Pro"/>
          <w:color w:val="000000" w:themeColor="text1"/>
        </w:rPr>
      </w:pPr>
      <w:r>
        <w:t xml:space="preserve">Credible evidence that the individual has knowingly engaged in acts or activities that advocate, threaten, use force or violence, or use any other illegal or unconstitutional means, in an effort to overthrow the government of the United States by force. </w:t>
      </w:r>
    </w:p>
    <w:p w14:paraId="05E5873D" w14:textId="77777777" w:rsidR="00EA1EA7" w:rsidRPr="00804F31" w:rsidRDefault="00EA1EA7" w:rsidP="00C17B73">
      <w:pPr>
        <w:pStyle w:val="Heading4"/>
      </w:pPr>
      <w:bookmarkStart w:id="89" w:name="_Toc187052968"/>
      <w:r w:rsidRPr="00804F31">
        <w:t>Mitigating Conditions</w:t>
      </w:r>
      <w:bookmarkEnd w:id="89"/>
      <w:r w:rsidRPr="00804F31">
        <w:t xml:space="preserve"> </w:t>
      </w:r>
    </w:p>
    <w:p w14:paraId="5181F19F" w14:textId="77777777" w:rsidR="00EA1EA7" w:rsidRPr="007E5A69" w:rsidRDefault="00EA1EA7" w:rsidP="00707CCB">
      <w:pPr>
        <w:spacing w:after="60"/>
        <w:rPr>
          <w:rFonts w:eastAsia="Source Serif Pro" w:cs="Source Serif Pro"/>
          <w:b/>
          <w:i/>
          <w:color w:val="000000" w:themeColor="text1"/>
        </w:rPr>
      </w:pPr>
      <w:r w:rsidRPr="007E5A69">
        <w:rPr>
          <w:rFonts w:eastAsia="Source Serif Pro" w:cs="Source Serif Pro"/>
          <w:b/>
          <w:i/>
          <w:color w:val="000000" w:themeColor="text1"/>
        </w:rPr>
        <w:t>Examples of conditions that could mitigate concerns, as determined by applying pertinent additional considerations:</w:t>
      </w:r>
    </w:p>
    <w:p w14:paraId="26C18FFD" w14:textId="77777777" w:rsidR="00EA1EA7" w:rsidRPr="007E5A69" w:rsidRDefault="00EA1EA7" w:rsidP="00A06D8B">
      <w:pPr>
        <w:pStyle w:val="ListParagraph"/>
        <w:numPr>
          <w:ilvl w:val="0"/>
          <w:numId w:val="32"/>
        </w:numPr>
        <w:spacing w:after="0"/>
        <w:contextualSpacing w:val="0"/>
        <w:rPr>
          <w:rFonts w:eastAsia="Source Serif Pro" w:cs="Source Serif Pro"/>
          <w:color w:val="000000" w:themeColor="text1"/>
        </w:rPr>
      </w:pPr>
      <w:r w:rsidRPr="007E5A69">
        <w:rPr>
          <w:rFonts w:eastAsia="Source Serif Pro" w:cs="Source Serif Pro"/>
          <w:color w:val="000000" w:themeColor="text1"/>
        </w:rPr>
        <w:t>The individual was involved in an organization that aimed to overthrow the government, however, was unaware of the unlawful aims of the organization and severed ties upon learning of these.</w:t>
      </w:r>
    </w:p>
    <w:p w14:paraId="6ABDA956" w14:textId="77777777" w:rsidR="00EA1EA7" w:rsidRPr="007E5A69" w:rsidRDefault="00EA1EA7" w:rsidP="00A06D8B">
      <w:pPr>
        <w:pStyle w:val="ListParagraph"/>
        <w:numPr>
          <w:ilvl w:val="0"/>
          <w:numId w:val="32"/>
        </w:numPr>
        <w:spacing w:after="0"/>
        <w:contextualSpacing w:val="0"/>
        <w:rPr>
          <w:rFonts w:eastAsia="Source Serif Pro" w:cs="Source Serif Pro"/>
          <w:color w:val="000000" w:themeColor="text1"/>
        </w:rPr>
      </w:pPr>
      <w:r w:rsidRPr="007E5A69">
        <w:rPr>
          <w:rFonts w:eastAsia="Source Serif Pro" w:cs="Source Serif Pro"/>
          <w:color w:val="000000" w:themeColor="text1"/>
        </w:rPr>
        <w:t>The individual’s involvement was humanitarian and permitted under U.S. law.</w:t>
      </w:r>
    </w:p>
    <w:p w14:paraId="3471FB62" w14:textId="77777777" w:rsidR="00EA1EA7" w:rsidRPr="007E5A69" w:rsidRDefault="00EA1EA7" w:rsidP="00A06D8B">
      <w:pPr>
        <w:pStyle w:val="ListParagraph"/>
        <w:numPr>
          <w:ilvl w:val="0"/>
          <w:numId w:val="32"/>
        </w:numPr>
        <w:spacing w:after="0"/>
        <w:contextualSpacing w:val="0"/>
      </w:pPr>
      <w:r w:rsidRPr="007E5A69">
        <w:rPr>
          <w:rFonts w:eastAsia="Source Sans Pro" w:cs="Source Sans Pro"/>
          <w:color w:val="000000" w:themeColor="text1"/>
        </w:rPr>
        <w:t>Involvement in the activities occurred for only a short period of time and was attributable to curiosity or academic interest.</w:t>
      </w:r>
    </w:p>
    <w:p w14:paraId="69ABB89B" w14:textId="66F696FD" w:rsidR="000E7CCE" w:rsidRPr="00707CCB" w:rsidRDefault="00EA1EA7" w:rsidP="00A06D8B">
      <w:pPr>
        <w:pStyle w:val="ListParagraph"/>
        <w:numPr>
          <w:ilvl w:val="0"/>
          <w:numId w:val="32"/>
        </w:numPr>
        <w:spacing w:after="240"/>
        <w:contextualSpacing w:val="0"/>
      </w:pPr>
      <w:r w:rsidRPr="007E5A69">
        <w:rPr>
          <w:rFonts w:eastAsia="Source Sans Pro" w:cs="Source Sans Pro"/>
          <w:color w:val="000000" w:themeColor="text1"/>
        </w:rPr>
        <w:t xml:space="preserve">The involvement or association with such activities occurred under such unusual circumstances, or so much time has elapsed, that it is unlikely to recur and does not cast </w:t>
      </w:r>
      <w:r w:rsidRPr="007E5A69">
        <w:rPr>
          <w:rFonts w:eastAsia="Source Sans Pro" w:cs="Source Sans Pro"/>
          <w:color w:val="000000" w:themeColor="text1"/>
        </w:rPr>
        <w:lastRenderedPageBreak/>
        <w:t xml:space="preserve">doubt </w:t>
      </w:r>
      <w:r w:rsidRPr="007E5A69">
        <w:rPr>
          <w:rFonts w:eastAsia="Source Sans Pro" w:cs="Source Sans Pro"/>
        </w:rPr>
        <w:t>on the individual’s character or loyalty that would suggest the person’s employment would adversely impact the integrity or efficiency of the service.</w:t>
      </w:r>
    </w:p>
    <w:p w14:paraId="60C89523" w14:textId="77777777" w:rsidR="00EA1EA7" w:rsidRPr="00133794" w:rsidRDefault="00EA1EA7" w:rsidP="00133794">
      <w:pPr>
        <w:pStyle w:val="Heading3"/>
        <w:rPr>
          <w:u w:val="single"/>
        </w:rPr>
      </w:pPr>
      <w:bookmarkStart w:id="90" w:name="_Toc187052969"/>
      <w:bookmarkStart w:id="91" w:name="_Toc187924151"/>
      <w:r w:rsidRPr="36A80A07">
        <w:rPr>
          <w:u w:val="single"/>
        </w:rPr>
        <w:t>FACTOR 8: ANY STATUTORY OR REGULATORY BAR THAT PREVENTS THE LAWFUL EMPLOYMENT OF THE INDIVIDUAL IN THE POSITION IN QUESTION</w:t>
      </w:r>
      <w:bookmarkEnd w:id="90"/>
      <w:bookmarkEnd w:id="91"/>
    </w:p>
    <w:p w14:paraId="0A0E37C2" w14:textId="77777777" w:rsidR="00EA1EA7" w:rsidRDefault="00EA1EA7" w:rsidP="00133794">
      <w:pPr>
        <w:pStyle w:val="Heading4"/>
      </w:pPr>
      <w:bookmarkStart w:id="92" w:name="_Toc187052970"/>
      <w:r w:rsidRPr="02DB6E7A">
        <w:t>Concern</w:t>
      </w:r>
      <w:bookmarkEnd w:id="92"/>
    </w:p>
    <w:p w14:paraId="5E7DD15C" w14:textId="1205BDFC" w:rsidR="00EA1EA7" w:rsidRPr="007E5A69" w:rsidRDefault="000E7CCE" w:rsidP="00FC7268">
      <w:pPr>
        <w:rPr>
          <w:rFonts w:eastAsia="Source Serif Pro" w:cs="Source Serif Pro"/>
          <w:color w:val="000000" w:themeColor="text1"/>
        </w:rPr>
      </w:pPr>
      <w:r w:rsidRPr="007E5A69">
        <w:rPr>
          <w:rFonts w:eastAsia="Source Serif Pro" w:cs="Source Serif Pro"/>
          <w:color w:val="000000" w:themeColor="text1"/>
        </w:rPr>
        <w:t xml:space="preserve">Federal statutes and/or regulations may prevent lawful employment. </w:t>
      </w:r>
      <w:r w:rsidR="00EA1EA7" w:rsidRPr="007E5A69">
        <w:rPr>
          <w:rFonts w:eastAsia="Source Serif Pro" w:cs="Source Serif Pro"/>
          <w:color w:val="000000" w:themeColor="text1"/>
        </w:rPr>
        <w:t xml:space="preserve">The statutory and regulatory debarments, depending on the specific regulation, can apply to general employment with the Government, specific positions within the Government or performance of particular duties within the Federal Government. </w:t>
      </w:r>
      <w:r w:rsidRPr="007E5A69">
        <w:rPr>
          <w:rFonts w:eastAsia="Source Serif Pro" w:cs="Source Serif Pro"/>
          <w:color w:val="000000" w:themeColor="text1"/>
        </w:rPr>
        <w:t>For example, there may be a bar against employment for a previous Federal employee who participated in a st</w:t>
      </w:r>
      <w:r w:rsidR="002D5F9D" w:rsidRPr="007E5A69">
        <w:rPr>
          <w:rFonts w:eastAsia="Source Serif Pro" w:cs="Source Serif Pro"/>
          <w:color w:val="000000" w:themeColor="text1"/>
        </w:rPr>
        <w:t>r</w:t>
      </w:r>
      <w:r w:rsidRPr="007E5A69">
        <w:rPr>
          <w:rFonts w:eastAsia="Source Serif Pro" w:cs="Source Serif Pro"/>
          <w:color w:val="000000" w:themeColor="text1"/>
        </w:rPr>
        <w:t>ike against the government</w:t>
      </w:r>
      <w:r w:rsidR="002D5F9D" w:rsidRPr="007E5A69">
        <w:rPr>
          <w:rFonts w:eastAsia="Source Serif Pro" w:cs="Source Serif Pro"/>
          <w:color w:val="000000" w:themeColor="text1"/>
        </w:rPr>
        <w:t xml:space="preserve"> or for not being registered for the Selective Service. Another example is a bar from holding positions that require carrying a gun or possessing ammunition if the individual has been convicted of certain crimes of domestic violence.</w:t>
      </w:r>
    </w:p>
    <w:p w14:paraId="1BD5A5FE" w14:textId="77777777" w:rsidR="00EA1EA7" w:rsidRPr="00804F31" w:rsidRDefault="00EA1EA7" w:rsidP="00133794">
      <w:pPr>
        <w:pStyle w:val="Heading4"/>
      </w:pPr>
      <w:bookmarkStart w:id="93" w:name="_Toc187052971"/>
      <w:r w:rsidRPr="00804F31">
        <w:t>General Application / Discussion</w:t>
      </w:r>
      <w:bookmarkEnd w:id="93"/>
    </w:p>
    <w:p w14:paraId="6E4DC681" w14:textId="385026F2" w:rsidR="00EA1EA7" w:rsidRPr="007E5A69" w:rsidRDefault="00EA1EA7" w:rsidP="00A06D8B">
      <w:pPr>
        <w:pStyle w:val="ListParagraph"/>
        <w:numPr>
          <w:ilvl w:val="0"/>
          <w:numId w:val="31"/>
        </w:numPr>
        <w:spacing w:after="0"/>
        <w:ind w:left="720"/>
        <w:rPr>
          <w:rFonts w:eastAsia="Source Serif Pro" w:cs="Source Serif Pro"/>
          <w:color w:val="000000" w:themeColor="text1"/>
        </w:rPr>
      </w:pPr>
      <w:r w:rsidRPr="007E5A69">
        <w:rPr>
          <w:rFonts w:eastAsia="Calibri" w:cs="Calibri"/>
          <w:color w:val="000000" w:themeColor="text1"/>
        </w:rPr>
        <w:t xml:space="preserve">In most situations the agency is in the best position to know if there is a statutory or regulatory bar for employment in certain positions. These laws can be very specific to particular agencies’ missions and often the agency is likely the only entity with a working knowledge of the relevant restrictions. </w:t>
      </w:r>
    </w:p>
    <w:p w14:paraId="01B93FCA" w14:textId="142C8458" w:rsidR="00EA1EA7" w:rsidRPr="007E5A69" w:rsidRDefault="002D5F9D" w:rsidP="00A06D8B">
      <w:pPr>
        <w:pStyle w:val="ListParagraph"/>
        <w:numPr>
          <w:ilvl w:val="0"/>
          <w:numId w:val="31"/>
        </w:numPr>
        <w:spacing w:after="0"/>
        <w:ind w:left="720"/>
        <w:rPr>
          <w:rFonts w:eastAsia="Calibri" w:cs="Calibri"/>
          <w:color w:val="000000" w:themeColor="text1"/>
        </w:rPr>
      </w:pPr>
      <w:r w:rsidRPr="007E5A69">
        <w:rPr>
          <w:rFonts w:eastAsia="Calibri" w:cs="Calibri"/>
          <w:color w:val="000000" w:themeColor="text1"/>
        </w:rPr>
        <w:t>S</w:t>
      </w:r>
      <w:r w:rsidR="00EA1EA7" w:rsidRPr="007E5A69">
        <w:rPr>
          <w:rFonts w:eastAsia="Calibri" w:cs="Calibri"/>
          <w:color w:val="000000" w:themeColor="text1"/>
        </w:rPr>
        <w:t xml:space="preserve">tatutory/regulatory bars can also be viewed as qualification or eligibility issues. If a statute or regulation precludes someone from holding a position, then that person is not eligible. </w:t>
      </w:r>
    </w:p>
    <w:p w14:paraId="3AD0E347" w14:textId="77777777" w:rsidR="00EA1EA7" w:rsidRPr="007E5A69" w:rsidRDefault="00EA1EA7" w:rsidP="00A06D8B">
      <w:pPr>
        <w:pStyle w:val="ListParagraph"/>
        <w:numPr>
          <w:ilvl w:val="0"/>
          <w:numId w:val="31"/>
        </w:numPr>
        <w:spacing w:after="0"/>
        <w:ind w:left="720"/>
        <w:rPr>
          <w:rFonts w:eastAsia="Source Serif Pro" w:cs="Source Serif Pro"/>
          <w:color w:val="000000" w:themeColor="text1"/>
        </w:rPr>
      </w:pPr>
      <w:r w:rsidRPr="007E5A69">
        <w:rPr>
          <w:rFonts w:eastAsia="Source Serif Pro" w:cs="Source Serif Pro"/>
          <w:color w:val="000000" w:themeColor="text1"/>
        </w:rPr>
        <w:t xml:space="preserve">Conduct forming the basis of a statutory debarment can also fall under one or more of the other factors discussed. </w:t>
      </w:r>
    </w:p>
    <w:p w14:paraId="0B20F9E3" w14:textId="591B7B3B" w:rsidR="00854FAF" w:rsidRPr="00C93603" w:rsidRDefault="000E7CCE" w:rsidP="00854FAF">
      <w:pPr>
        <w:pStyle w:val="ListParagraph"/>
        <w:numPr>
          <w:ilvl w:val="0"/>
          <w:numId w:val="31"/>
        </w:numPr>
        <w:spacing w:after="240"/>
        <w:ind w:left="720"/>
        <w:contextualSpacing w:val="0"/>
        <w:rPr>
          <w:rFonts w:eastAsia="Source Serif Pro" w:cs="Source Serif Pro"/>
          <w:color w:val="000000" w:themeColor="text1"/>
        </w:rPr>
      </w:pPr>
      <w:r w:rsidRPr="007E5A69">
        <w:rPr>
          <w:rFonts w:eastAsia="Source Serif Pro" w:cs="Source Serif Pro"/>
          <w:color w:val="000000" w:themeColor="text1"/>
        </w:rPr>
        <w:t>It is possible that some statutory or regulatory bars may allow the agency to apply waiver provisions, but they cannot be mitigated through application of the suitability or fitness additional considerations.</w:t>
      </w:r>
    </w:p>
    <w:p w14:paraId="1760C355" w14:textId="082BF969" w:rsidR="00EA1EA7" w:rsidRPr="00133794" w:rsidRDefault="00EA1EA7" w:rsidP="00133794">
      <w:pPr>
        <w:pStyle w:val="Heading3"/>
        <w:rPr>
          <w:u w:val="single"/>
        </w:rPr>
      </w:pPr>
      <w:bookmarkStart w:id="94" w:name="_Toc187052972"/>
      <w:bookmarkStart w:id="95" w:name="_Toc187924152"/>
      <w:r w:rsidRPr="36A80A07">
        <w:rPr>
          <w:u w:val="single"/>
        </w:rPr>
        <w:t xml:space="preserve">FACTOR </w:t>
      </w:r>
      <w:r w:rsidR="007B6FC5" w:rsidRPr="36A80A07">
        <w:rPr>
          <w:u w:val="single"/>
        </w:rPr>
        <w:t>9</w:t>
      </w:r>
      <w:r w:rsidRPr="36A80A07">
        <w:rPr>
          <w:u w:val="single"/>
        </w:rPr>
        <w:t>: VIOLENT CONDUCT</w:t>
      </w:r>
      <w:bookmarkEnd w:id="94"/>
      <w:bookmarkEnd w:id="95"/>
    </w:p>
    <w:p w14:paraId="763256DD" w14:textId="77777777" w:rsidR="00EA1EA7" w:rsidRPr="007C7F6B" w:rsidRDefault="00EA1EA7" w:rsidP="00133794">
      <w:pPr>
        <w:pStyle w:val="Heading4"/>
      </w:pPr>
      <w:bookmarkStart w:id="96" w:name="_Toc187052973"/>
      <w:r w:rsidRPr="007C7F6B">
        <w:t>Concern</w:t>
      </w:r>
      <w:bookmarkEnd w:id="96"/>
    </w:p>
    <w:p w14:paraId="043B44F7" w14:textId="3F83DE07" w:rsidR="00EA1EA7" w:rsidRPr="007E5A69" w:rsidRDefault="00EA1EA7" w:rsidP="004B70C0">
      <w:pPr>
        <w:rPr>
          <w:rFonts w:eastAsia="Source Serif Pro" w:cs="Source Serif Pro"/>
          <w:color w:val="000000" w:themeColor="text1"/>
        </w:rPr>
      </w:pPr>
      <w:r w:rsidRPr="2AEFA46C">
        <w:rPr>
          <w:rFonts w:eastAsia="Source Serif Pro" w:cs="Source Serif Pro"/>
          <w:color w:val="000000" w:themeColor="text1"/>
        </w:rPr>
        <w:t>Generally</w:t>
      </w:r>
      <w:r w:rsidR="007E5A69" w:rsidRPr="2AEFA46C">
        <w:rPr>
          <w:rFonts w:eastAsia="Source Serif Pro" w:cs="Source Serif Pro"/>
          <w:color w:val="000000" w:themeColor="text1"/>
        </w:rPr>
        <w:t>,</w:t>
      </w:r>
      <w:r w:rsidRPr="2AEFA46C">
        <w:rPr>
          <w:rFonts w:eastAsia="Source Serif Pro" w:cs="Source Serif Pro"/>
          <w:color w:val="000000" w:themeColor="text1"/>
        </w:rPr>
        <w:t xml:space="preserve"> this factor accounts for violent behavior that does not fall squarely under another factor, such as </w:t>
      </w:r>
      <w:r w:rsidR="002D5F9D" w:rsidRPr="2AEFA46C">
        <w:rPr>
          <w:rFonts w:eastAsia="Source Serif Pro" w:cs="Source Serif Pro"/>
          <w:color w:val="000000" w:themeColor="text1"/>
        </w:rPr>
        <w:t xml:space="preserve">violent conduct that </w:t>
      </w:r>
      <w:r w:rsidRPr="2AEFA46C">
        <w:rPr>
          <w:rFonts w:eastAsia="Source Serif Pro" w:cs="Source Serif Pro"/>
          <w:color w:val="000000" w:themeColor="text1"/>
        </w:rPr>
        <w:t xml:space="preserve">occurs outside of the workplace or </w:t>
      </w:r>
      <w:r w:rsidR="002D5F9D" w:rsidRPr="2AEFA46C">
        <w:rPr>
          <w:rFonts w:eastAsia="Source Serif Pro" w:cs="Source Serif Pro"/>
          <w:color w:val="000000" w:themeColor="text1"/>
        </w:rPr>
        <w:t xml:space="preserve">that which </w:t>
      </w:r>
      <w:r w:rsidRPr="2AEFA46C">
        <w:rPr>
          <w:rFonts w:eastAsia="Source Serif Pro" w:cs="Source Serif Pro"/>
          <w:color w:val="000000" w:themeColor="text1"/>
        </w:rPr>
        <w:t>may not be considered criminal or dishonest in nature. For example, sexually or physically violent conduct of a nature that leads to a civil protection order but not criminal charges</w:t>
      </w:r>
      <w:r w:rsidR="6EB87BEF" w:rsidRPr="2AEFA46C">
        <w:rPr>
          <w:rFonts w:eastAsia="Source Serif Pro" w:cs="Source Serif Pro"/>
          <w:color w:val="000000" w:themeColor="text1"/>
        </w:rPr>
        <w:t>,</w:t>
      </w:r>
      <w:r w:rsidRPr="2AEFA46C">
        <w:rPr>
          <w:rFonts w:eastAsia="Source Serif Pro" w:cs="Source Serif Pro"/>
          <w:color w:val="000000" w:themeColor="text1"/>
        </w:rPr>
        <w:t xml:space="preserve"> may fall under this factor. Violent means using or involving physical force intended to hurt, damage, or kill someone or something. </w:t>
      </w:r>
    </w:p>
    <w:p w14:paraId="2BA07239" w14:textId="65BB63B5" w:rsidR="00EA1EA7" w:rsidRPr="00804F31" w:rsidRDefault="00EA1EA7" w:rsidP="00133794">
      <w:pPr>
        <w:pStyle w:val="Heading4"/>
      </w:pPr>
      <w:bookmarkStart w:id="97" w:name="_Toc187052974"/>
      <w:r w:rsidRPr="00804F31">
        <w:lastRenderedPageBreak/>
        <w:t>General Application / Discussion</w:t>
      </w:r>
      <w:bookmarkEnd w:id="97"/>
    </w:p>
    <w:p w14:paraId="4AA832DC" w14:textId="69221E73" w:rsidR="00EA1EA7" w:rsidRPr="007E5A69" w:rsidRDefault="00EA1EA7" w:rsidP="00854FAF">
      <w:pPr>
        <w:rPr>
          <w:rFonts w:eastAsia="Source Serif Pro" w:cs="Source Serif Pro"/>
          <w:color w:val="000000" w:themeColor="text1"/>
        </w:rPr>
      </w:pPr>
      <w:r w:rsidRPr="007E5A69">
        <w:rPr>
          <w:rFonts w:eastAsia="Source Serif Pro" w:cs="Source Serif Pro"/>
          <w:color w:val="000000" w:themeColor="text1"/>
        </w:rPr>
        <w:t xml:space="preserve">Primary emphasis is on the nature of the violent conduct, which </w:t>
      </w:r>
      <w:r w:rsidR="002D5F9D" w:rsidRPr="007E5A69">
        <w:rPr>
          <w:rFonts w:eastAsia="Source Serif Pro" w:cs="Source Serif Pro"/>
          <w:color w:val="000000" w:themeColor="text1"/>
        </w:rPr>
        <w:t xml:space="preserve">though perhaps not criminal, is also not behavior that is socially acceptable or otherwise legal. For example, legally hunting wild game, while violent by definition, is not the type of conduct that this factor is intended to address because legally hunting is not an act that would cause one to be unsuitable or unfit. However, engaging in spousal abuse, which may not result in criminal charges but leads to a protection from abuse order, with proper evidence </w:t>
      </w:r>
      <w:r w:rsidR="00F06B13" w:rsidRPr="007E5A69">
        <w:rPr>
          <w:rFonts w:eastAsia="Source Serif Pro" w:cs="Source Serif Pro"/>
          <w:color w:val="000000" w:themeColor="text1"/>
        </w:rPr>
        <w:t xml:space="preserve">could </w:t>
      </w:r>
      <w:r w:rsidR="002D5F9D" w:rsidRPr="007E5A69">
        <w:rPr>
          <w:rFonts w:eastAsia="Source Serif Pro" w:cs="Source Serif Pro"/>
          <w:color w:val="000000" w:themeColor="text1"/>
        </w:rPr>
        <w:t xml:space="preserve">be cause for suitability or fitness concern. </w:t>
      </w:r>
      <w:r w:rsidR="00F06B13" w:rsidRPr="007E5A69">
        <w:rPr>
          <w:rFonts w:eastAsia="Source Serif Pro" w:cs="Source Serif Pro"/>
          <w:color w:val="000000" w:themeColor="text1"/>
        </w:rPr>
        <w:t xml:space="preserve">As another example, if evidence demonstrates an individual engages in physical fights with others or uses excessive force or brutality against others, this type of behavior could warrant consideration under this factor. </w:t>
      </w:r>
      <w:r w:rsidRPr="007E5A69">
        <w:rPr>
          <w:rFonts w:eastAsia="Source Serif Pro" w:cs="Source Serif Pro"/>
          <w:color w:val="000000" w:themeColor="text1"/>
        </w:rPr>
        <w:t xml:space="preserve">The adjudicator must make an independent determination that the individual engaged in the violent conduct based on the preponderance of evidence to justify their decision. </w:t>
      </w:r>
    </w:p>
    <w:p w14:paraId="31B3FCF6" w14:textId="06719BC1" w:rsidR="00EA1EA7" w:rsidRPr="00804F31" w:rsidRDefault="00EA1EA7" w:rsidP="00133794">
      <w:pPr>
        <w:pStyle w:val="Heading4"/>
      </w:pPr>
      <w:bookmarkStart w:id="98" w:name="_Toc187052975"/>
      <w:r w:rsidRPr="00804F31">
        <w:t>Potential Suitability/Fitness Concerns</w:t>
      </w:r>
      <w:bookmarkEnd w:id="98"/>
    </w:p>
    <w:p w14:paraId="46E7CE3B" w14:textId="2918EC28" w:rsidR="00EA1EA7" w:rsidRPr="007E5A69" w:rsidRDefault="00EA1EA7" w:rsidP="00854FAF">
      <w:pPr>
        <w:spacing w:after="60"/>
        <w:rPr>
          <w:rFonts w:eastAsia="Source Serif Pro" w:cs="Source Serif Pro"/>
          <w:color w:val="000000" w:themeColor="text1"/>
        </w:rPr>
      </w:pPr>
      <w:r w:rsidRPr="007E5A69">
        <w:rPr>
          <w:rFonts w:eastAsia="Source Serif Pro" w:cs="Source Serif Pro"/>
          <w:b/>
          <w:i/>
          <w:color w:val="000000" w:themeColor="text1"/>
        </w:rPr>
        <w:t>Examples of conditions that could raise a concern and may lead to an unfavorable determination include</w:t>
      </w:r>
      <w:r w:rsidR="002D5F9D" w:rsidRPr="007E5A69">
        <w:rPr>
          <w:rFonts w:eastAsia="Source Serif Pro" w:cs="Source Serif Pro"/>
          <w:b/>
          <w:i/>
          <w:color w:val="000000" w:themeColor="text1"/>
        </w:rPr>
        <w:t>:</w:t>
      </w:r>
    </w:p>
    <w:p w14:paraId="45DF81A7" w14:textId="77777777" w:rsidR="00EA1EA7" w:rsidRPr="007E5A69" w:rsidRDefault="00EA1EA7" w:rsidP="00A06D8B">
      <w:pPr>
        <w:pStyle w:val="ListParagraph"/>
        <w:numPr>
          <w:ilvl w:val="0"/>
          <w:numId w:val="30"/>
        </w:numPr>
        <w:spacing w:after="0"/>
        <w:ind w:left="720"/>
        <w:contextualSpacing w:val="0"/>
        <w:rPr>
          <w:rFonts w:eastAsia="Source Serif Pro" w:cs="Source Serif Pro"/>
          <w:color w:val="000000" w:themeColor="text1"/>
        </w:rPr>
      </w:pPr>
      <w:r w:rsidRPr="007E5A69">
        <w:rPr>
          <w:rFonts w:eastAsia="Source Serif Pro" w:cs="Source Serif Pro"/>
          <w:color w:val="000000" w:themeColor="text1"/>
        </w:rPr>
        <w:t>A single serious offense.</w:t>
      </w:r>
    </w:p>
    <w:p w14:paraId="69B0BA00" w14:textId="2F539CFC" w:rsidR="00F06B13" w:rsidRPr="006A4486" w:rsidRDefault="00EA1EA7" w:rsidP="00A06D8B">
      <w:pPr>
        <w:pStyle w:val="ListParagraph"/>
        <w:numPr>
          <w:ilvl w:val="0"/>
          <w:numId w:val="30"/>
        </w:numPr>
        <w:ind w:left="720"/>
        <w:contextualSpacing w:val="0"/>
        <w:rPr>
          <w:rFonts w:eastAsia="Source Serif Pro" w:cs="Source Serif Pro"/>
          <w:color w:val="000000" w:themeColor="text1"/>
        </w:rPr>
      </w:pPr>
      <w:r w:rsidRPr="007E5A69">
        <w:rPr>
          <w:rFonts w:eastAsia="Source Serif Pro" w:cs="Source Serif Pro"/>
          <w:color w:val="000000" w:themeColor="text1"/>
        </w:rPr>
        <w:t xml:space="preserve">A pattern of minor offenses, any one of which on its own would be unlikely to affect a suitability decision, but in combination cast doubt on the individual’s </w:t>
      </w:r>
      <w:r w:rsidR="00F06B13" w:rsidRPr="007E5A69">
        <w:rPr>
          <w:rFonts w:eastAsia="Source Serif Pro" w:cs="Source Serif Pro"/>
          <w:color w:val="000000" w:themeColor="text1"/>
        </w:rPr>
        <w:t>suitability or fitness.</w:t>
      </w:r>
    </w:p>
    <w:p w14:paraId="35CD6B09" w14:textId="77777777" w:rsidR="00EA1EA7" w:rsidRPr="00804F31" w:rsidRDefault="00EA1EA7" w:rsidP="00133794">
      <w:pPr>
        <w:pStyle w:val="Heading4"/>
      </w:pPr>
      <w:bookmarkStart w:id="99" w:name="_Toc187052976"/>
      <w:r w:rsidRPr="00804F31">
        <w:t>Mitigating Conditions</w:t>
      </w:r>
      <w:bookmarkEnd w:id="99"/>
      <w:r w:rsidRPr="00804F31">
        <w:t xml:space="preserve"> </w:t>
      </w:r>
    </w:p>
    <w:p w14:paraId="249010C3" w14:textId="77777777" w:rsidR="00EA1EA7" w:rsidRPr="007E5A69" w:rsidRDefault="00EA1EA7" w:rsidP="00415D05">
      <w:pPr>
        <w:spacing w:after="60"/>
        <w:rPr>
          <w:rFonts w:eastAsia="Source Serif Pro" w:cs="Source Serif Pro"/>
          <w:b/>
          <w:i/>
          <w:color w:val="000000" w:themeColor="text1"/>
        </w:rPr>
      </w:pPr>
      <w:r w:rsidRPr="007E5A69">
        <w:rPr>
          <w:rFonts w:eastAsia="Source Serif Pro" w:cs="Source Serif Pro"/>
          <w:b/>
          <w:i/>
          <w:color w:val="000000" w:themeColor="text1"/>
        </w:rPr>
        <w:t>Examples of conditions that could mitigate concerns, as determined by applying pertinent additional considerations:</w:t>
      </w:r>
    </w:p>
    <w:p w14:paraId="45DFD02C" w14:textId="77777777" w:rsidR="00EA1EA7" w:rsidRPr="007E5A69" w:rsidRDefault="00EA1EA7" w:rsidP="00A06D8B">
      <w:pPr>
        <w:pStyle w:val="ListParagraph"/>
        <w:numPr>
          <w:ilvl w:val="0"/>
          <w:numId w:val="30"/>
        </w:numPr>
        <w:spacing w:after="0"/>
        <w:ind w:left="720"/>
        <w:contextualSpacing w:val="0"/>
        <w:rPr>
          <w:rFonts w:eastAsia="Source Serif Pro" w:cs="Source Serif Pro"/>
          <w:color w:val="000000" w:themeColor="text1"/>
        </w:rPr>
      </w:pPr>
      <w:r w:rsidRPr="007E5A69">
        <w:rPr>
          <w:rFonts w:eastAsia="Source Serif Pro" w:cs="Source Serif Pro"/>
          <w:color w:val="000000" w:themeColor="text1"/>
        </w:rPr>
        <w:t>The conduct is minor.</w:t>
      </w:r>
    </w:p>
    <w:p w14:paraId="3641FED4" w14:textId="77777777" w:rsidR="00EA1EA7" w:rsidRPr="007E5A69" w:rsidRDefault="00EA1EA7" w:rsidP="00A06D8B">
      <w:pPr>
        <w:pStyle w:val="ListParagraph"/>
        <w:numPr>
          <w:ilvl w:val="0"/>
          <w:numId w:val="30"/>
        </w:numPr>
        <w:spacing w:after="0"/>
        <w:ind w:left="720"/>
        <w:contextualSpacing w:val="0"/>
        <w:rPr>
          <w:rFonts w:eastAsia="Source Serif Pro" w:cs="Source Serif Pro"/>
          <w:color w:val="000000" w:themeColor="text1"/>
        </w:rPr>
      </w:pPr>
      <w:r w:rsidRPr="007E5A69">
        <w:rPr>
          <w:rFonts w:eastAsia="Source Serif Pro" w:cs="Source Serif Pro"/>
          <w:color w:val="000000" w:themeColor="text1"/>
        </w:rPr>
        <w:t>So much time has passed since the conduct.</w:t>
      </w:r>
    </w:p>
    <w:p w14:paraId="1CD9D280" w14:textId="77777777" w:rsidR="00EA1EA7" w:rsidRPr="007E5A69" w:rsidRDefault="00EA1EA7" w:rsidP="00A06D8B">
      <w:pPr>
        <w:pStyle w:val="ListParagraph"/>
        <w:numPr>
          <w:ilvl w:val="0"/>
          <w:numId w:val="30"/>
        </w:numPr>
        <w:spacing w:after="0"/>
        <w:ind w:left="720"/>
        <w:contextualSpacing w:val="0"/>
        <w:rPr>
          <w:rFonts w:eastAsia="Source Serif Pro" w:cs="Source Serif Pro"/>
          <w:color w:val="000000" w:themeColor="text1"/>
        </w:rPr>
      </w:pPr>
      <w:r w:rsidRPr="007E5A69">
        <w:rPr>
          <w:rFonts w:eastAsia="Source Serif Pro" w:cs="Source Serif Pro"/>
          <w:color w:val="000000" w:themeColor="text1"/>
        </w:rPr>
        <w:t>The behavior was infrequent.</w:t>
      </w:r>
    </w:p>
    <w:p w14:paraId="6B6D36EA" w14:textId="2D271220" w:rsidR="00EA1EA7" w:rsidRPr="007E5A69" w:rsidRDefault="00EA1EA7" w:rsidP="00A06D8B">
      <w:pPr>
        <w:pStyle w:val="ListParagraph"/>
        <w:numPr>
          <w:ilvl w:val="0"/>
          <w:numId w:val="30"/>
        </w:numPr>
        <w:spacing w:after="0"/>
        <w:ind w:left="720"/>
        <w:contextualSpacing w:val="0"/>
        <w:rPr>
          <w:rFonts w:eastAsia="Source Serif Pro" w:cs="Source Serif Pro"/>
          <w:color w:val="000000" w:themeColor="text1"/>
        </w:rPr>
      </w:pPr>
      <w:r w:rsidRPr="007E5A69">
        <w:rPr>
          <w:rFonts w:eastAsia="Source Serif Pro" w:cs="Source Serif Pro"/>
          <w:color w:val="000000" w:themeColor="text1"/>
        </w:rPr>
        <w:t xml:space="preserve">The conduct happened under such unique circumstances that it is unlikely to recur and does not cast doubt on the individual’s character or suggest the individual’s employment would adversely impact the integrity or efficiency of the service. </w:t>
      </w:r>
    </w:p>
    <w:p w14:paraId="57E0949C" w14:textId="36CE0A0C" w:rsidR="00EA1EA7" w:rsidRPr="007E5A69" w:rsidRDefault="00EA1EA7" w:rsidP="00A06D8B">
      <w:pPr>
        <w:pStyle w:val="ListParagraph"/>
        <w:numPr>
          <w:ilvl w:val="0"/>
          <w:numId w:val="30"/>
        </w:numPr>
        <w:spacing w:after="0"/>
        <w:ind w:left="720"/>
        <w:contextualSpacing w:val="0"/>
        <w:rPr>
          <w:rFonts w:eastAsia="Source Serif Pro" w:cs="Source Serif Pro"/>
          <w:color w:val="000000" w:themeColor="text1"/>
        </w:rPr>
      </w:pPr>
      <w:r w:rsidRPr="007E5A69">
        <w:rPr>
          <w:rFonts w:eastAsia="Source Serif Pro" w:cs="Source Serif Pro"/>
          <w:color w:val="000000" w:themeColor="text1"/>
        </w:rPr>
        <w:t xml:space="preserve">There exists no increased concern based on the authority, responsibility, sensitivity, and public trust associated with the position or a direct nexus to the core duties of the position or agency mission. </w:t>
      </w:r>
    </w:p>
    <w:p w14:paraId="123E2517" w14:textId="41A30A37" w:rsidR="00EA1EA7" w:rsidRPr="007E5A69" w:rsidRDefault="00EA1EA7" w:rsidP="00A06D8B">
      <w:pPr>
        <w:pStyle w:val="ListParagraph"/>
        <w:numPr>
          <w:ilvl w:val="0"/>
          <w:numId w:val="30"/>
        </w:numPr>
        <w:spacing w:after="0"/>
        <w:ind w:left="720"/>
        <w:contextualSpacing w:val="0"/>
        <w:rPr>
          <w:rFonts w:eastAsia="Source Serif Pro" w:cs="Source Serif Pro"/>
          <w:color w:val="000000" w:themeColor="text1"/>
        </w:rPr>
      </w:pPr>
      <w:r w:rsidRPr="007E5A69">
        <w:rPr>
          <w:rFonts w:eastAsia="Source Serif Pro" w:cs="Source Serif Pro"/>
          <w:color w:val="000000" w:themeColor="text1"/>
        </w:rPr>
        <w:t xml:space="preserve">There is evidence of successful rehabilitation; including, but not limited to, passage of time without reoccurrence of </w:t>
      </w:r>
      <w:r w:rsidR="005D50B0">
        <w:rPr>
          <w:rFonts w:eastAsia="Source Serif Pro" w:cs="Source Serif Pro"/>
          <w:color w:val="000000" w:themeColor="text1"/>
        </w:rPr>
        <w:t>the same or similar behavior</w:t>
      </w:r>
      <w:r w:rsidRPr="007E5A69">
        <w:rPr>
          <w:rFonts w:eastAsia="Source Serif Pro" w:cs="Source Serif Pro"/>
          <w:color w:val="000000" w:themeColor="text1"/>
        </w:rPr>
        <w:t xml:space="preserve">, </w:t>
      </w:r>
      <w:r w:rsidR="005D50B0">
        <w:rPr>
          <w:rFonts w:eastAsia="Source Serif Pro" w:cs="Source Serif Pro"/>
          <w:color w:val="000000" w:themeColor="text1"/>
        </w:rPr>
        <w:t xml:space="preserve">or </w:t>
      </w:r>
      <w:r w:rsidRPr="007E5A69">
        <w:rPr>
          <w:rFonts w:eastAsia="Source Serif Pro" w:cs="Source Serif Pro"/>
          <w:color w:val="000000" w:themeColor="text1"/>
        </w:rPr>
        <w:t xml:space="preserve">compliance with terms </w:t>
      </w:r>
      <w:r w:rsidR="005D50B0">
        <w:rPr>
          <w:rFonts w:eastAsia="Source Serif Pro" w:cs="Source Serif Pro"/>
          <w:color w:val="000000" w:themeColor="text1"/>
        </w:rPr>
        <w:t xml:space="preserve">and conditions </w:t>
      </w:r>
      <w:r w:rsidRPr="007E5A69">
        <w:rPr>
          <w:rFonts w:eastAsia="Source Serif Pro" w:cs="Source Serif Pro"/>
          <w:color w:val="000000" w:themeColor="text1"/>
        </w:rPr>
        <w:t xml:space="preserve">of </w:t>
      </w:r>
      <w:r w:rsidR="005D50B0">
        <w:rPr>
          <w:rFonts w:eastAsia="Source Serif Pro" w:cs="Source Serif Pro"/>
          <w:color w:val="000000" w:themeColor="text1"/>
        </w:rPr>
        <w:t>court order/direction, as applicable.</w:t>
      </w:r>
      <w:r w:rsidRPr="007E5A69">
        <w:rPr>
          <w:rFonts w:eastAsia="Source Serif Pro" w:cs="Source Serif Pro"/>
          <w:color w:val="000000" w:themeColor="text1"/>
        </w:rPr>
        <w:t xml:space="preserve"> </w:t>
      </w:r>
    </w:p>
    <w:p w14:paraId="30678DB0" w14:textId="238B06C2" w:rsidR="00EA1EA7" w:rsidRPr="007E5A69" w:rsidRDefault="00F06B13" w:rsidP="00A06D8B">
      <w:pPr>
        <w:pStyle w:val="ListParagraph"/>
        <w:numPr>
          <w:ilvl w:val="0"/>
          <w:numId w:val="30"/>
        </w:numPr>
        <w:ind w:left="720"/>
        <w:contextualSpacing w:val="0"/>
        <w:rPr>
          <w:rFonts w:eastAsia="Source Serif Pro" w:cs="Source Serif Pro"/>
          <w:color w:val="000000" w:themeColor="text1"/>
        </w:rPr>
      </w:pPr>
      <w:r w:rsidRPr="007E5A69">
        <w:rPr>
          <w:rFonts w:eastAsia="Source Serif Pro" w:cs="Source Serif Pro"/>
          <w:color w:val="000000" w:themeColor="text1"/>
        </w:rPr>
        <w:t>T</w:t>
      </w:r>
      <w:r w:rsidR="00EA1EA7" w:rsidRPr="007E5A69">
        <w:rPr>
          <w:rFonts w:eastAsia="Source Serif Pro" w:cs="Source Serif Pro"/>
          <w:color w:val="000000" w:themeColor="text1"/>
        </w:rPr>
        <w:t>here is evidence that the individual’s conduct was violent, however, it was performed within the parameters of their official duties (i.e., police, security) or an act of plausible self-defense.</w:t>
      </w:r>
    </w:p>
    <w:p w14:paraId="04993112" w14:textId="159F978C" w:rsidR="00231CD5" w:rsidRPr="00CE0B2C" w:rsidRDefault="00D8550A" w:rsidP="00CE0B2C">
      <w:pPr>
        <w:pStyle w:val="Heading2"/>
        <w:rPr>
          <w:rStyle w:val="normaltextrun"/>
        </w:rPr>
      </w:pPr>
      <w:bookmarkStart w:id="100" w:name="_Toc187052977"/>
      <w:bookmarkStart w:id="101" w:name="_Toc187924153"/>
      <w:r w:rsidRPr="36A80A07">
        <w:rPr>
          <w:rStyle w:val="normaltextrun"/>
        </w:rPr>
        <w:t>3.6</w:t>
      </w:r>
      <w:r w:rsidR="00231CD5" w:rsidRPr="36A80A07">
        <w:rPr>
          <w:rStyle w:val="normaltextrun"/>
        </w:rPr>
        <w:t xml:space="preserve"> – Investigative Service Provider – Issue Characterization</w:t>
      </w:r>
      <w:bookmarkEnd w:id="100"/>
      <w:bookmarkEnd w:id="101"/>
    </w:p>
    <w:p w14:paraId="04792434" w14:textId="471F126E" w:rsidR="00231CD5" w:rsidRPr="00F47A07" w:rsidRDefault="00231CD5" w:rsidP="00575F37">
      <w:pPr>
        <w:spacing w:after="60" w:line="240" w:lineRule="auto"/>
        <w:rPr>
          <w:rStyle w:val="normaltextrun"/>
          <w:rFonts w:ascii="Source Sans Pro" w:eastAsiaTheme="majorEastAsia" w:hAnsi="Source Sans Pro" w:cstheme="majorBidi"/>
          <w:b/>
          <w:color w:val="093453"/>
          <w:sz w:val="36"/>
          <w:szCs w:val="26"/>
          <w:shd w:val="clear" w:color="auto" w:fill="FFFFFF"/>
        </w:rPr>
      </w:pPr>
      <w:r w:rsidRPr="00F47A07">
        <w:rPr>
          <w:rStyle w:val="normaltextrun"/>
          <w:shd w:val="clear" w:color="auto" w:fill="FFFFFF"/>
        </w:rPr>
        <w:t xml:space="preserve">Authorized Investigative Service Providers (ISP) are required by the </w:t>
      </w:r>
      <w:r w:rsidRPr="00F47A07">
        <w:rPr>
          <w:rStyle w:val="normaltextrun"/>
          <w:b/>
          <w:shd w:val="clear" w:color="auto" w:fill="FFFFFF"/>
        </w:rPr>
        <w:t xml:space="preserve">Federal Personnel Vetting Investigative Standards </w:t>
      </w:r>
      <w:r w:rsidRPr="00F47A07">
        <w:rPr>
          <w:rStyle w:val="normaltextrun"/>
          <w:shd w:val="clear" w:color="auto" w:fill="FFFFFF"/>
        </w:rPr>
        <w:t xml:space="preserve">to label the seriousness of issue information from each data source and to </w:t>
      </w:r>
      <w:r w:rsidRPr="00F47A07">
        <w:rPr>
          <w:rStyle w:val="normaltextrun"/>
          <w:shd w:val="clear" w:color="auto" w:fill="FFFFFF"/>
        </w:rPr>
        <w:lastRenderedPageBreak/>
        <w:t xml:space="preserve">categorically identify the overall case seriousness. </w:t>
      </w:r>
      <w:r w:rsidR="00620C5F" w:rsidRPr="00F47A07">
        <w:rPr>
          <w:rStyle w:val="normaltextrun"/>
          <w:shd w:val="clear" w:color="auto" w:fill="FFFFFF"/>
        </w:rPr>
        <w:t xml:space="preserve">ISPs develop their own methodology for categorizing </w:t>
      </w:r>
      <w:r w:rsidR="00ED5824">
        <w:rPr>
          <w:rStyle w:val="normaltextrun"/>
          <w:shd w:val="clear" w:color="auto" w:fill="FFFFFF"/>
        </w:rPr>
        <w:t>i</w:t>
      </w:r>
      <w:r w:rsidR="00620C5F" w:rsidRPr="00F47A07">
        <w:rPr>
          <w:rStyle w:val="normaltextrun"/>
          <w:shd w:val="clear" w:color="auto" w:fill="FFFFFF"/>
        </w:rPr>
        <w:t xml:space="preserve">ssue seriousness which is assigned at face value, as information is gathered through the investigative process. The methodology, which ISPs must share with their customers, aligns with the following parameters: </w:t>
      </w:r>
    </w:p>
    <w:p w14:paraId="489CE160" w14:textId="63CEE3F3" w:rsidR="00620C5F" w:rsidRPr="001E3520" w:rsidRDefault="00620C5F" w:rsidP="00A06D8B">
      <w:pPr>
        <w:pStyle w:val="ListParagraph"/>
        <w:numPr>
          <w:ilvl w:val="0"/>
          <w:numId w:val="65"/>
        </w:numPr>
        <w:autoSpaceDE w:val="0"/>
        <w:autoSpaceDN w:val="0"/>
        <w:adjustRightInd w:val="0"/>
        <w:spacing w:after="0" w:line="240" w:lineRule="auto"/>
        <w:ind w:left="720"/>
        <w:contextualSpacing w:val="0"/>
        <w:rPr>
          <w:rFonts w:cs="TimesNewRomanPSMT"/>
          <w:spacing w:val="0"/>
        </w:rPr>
      </w:pPr>
      <w:r w:rsidRPr="001E3520">
        <w:rPr>
          <w:rFonts w:cs="TimesNewRomanPSMT"/>
          <w:spacing w:val="0"/>
        </w:rPr>
        <w:t>The issue seriousness categorization must provide enough specificity to clearly track the concern. For example, if substance abuse is identified, the categorization must identify if alcohol or drugs was used or if criminal conduct is involved, the categorization must be specific as to the type of behavior such as violent behavior like assault.</w:t>
      </w:r>
    </w:p>
    <w:p w14:paraId="457EEEC6" w14:textId="5FA17EAA" w:rsidR="00620C5F" w:rsidRPr="001E3520" w:rsidRDefault="00620C5F" w:rsidP="00A06D8B">
      <w:pPr>
        <w:pStyle w:val="ListParagraph"/>
        <w:numPr>
          <w:ilvl w:val="0"/>
          <w:numId w:val="65"/>
        </w:numPr>
        <w:autoSpaceDE w:val="0"/>
        <w:autoSpaceDN w:val="0"/>
        <w:adjustRightInd w:val="0"/>
        <w:spacing w:after="0" w:line="240" w:lineRule="auto"/>
        <w:ind w:left="720"/>
        <w:contextualSpacing w:val="0"/>
        <w:rPr>
          <w:rFonts w:cs="TimesNewRomanPSMT"/>
          <w:spacing w:val="0"/>
        </w:rPr>
      </w:pPr>
      <w:r w:rsidRPr="001E3520">
        <w:rPr>
          <w:rFonts w:cs="TimesNewRomanPSMT"/>
          <w:spacing w:val="0"/>
        </w:rPr>
        <w:t>ISPs must identify evidence of false or dishonest statements. For example, if the</w:t>
      </w:r>
      <w:r w:rsidR="00280330">
        <w:rPr>
          <w:rFonts w:cs="TimesNewRomanPSMT"/>
          <w:spacing w:val="0"/>
        </w:rPr>
        <w:t xml:space="preserve"> </w:t>
      </w:r>
    </w:p>
    <w:p w14:paraId="661BFA3A" w14:textId="5487369C" w:rsidR="00620C5F" w:rsidRPr="001E3520" w:rsidRDefault="00620C5F" w:rsidP="00575F37">
      <w:pPr>
        <w:pStyle w:val="ListParagraph"/>
        <w:autoSpaceDE w:val="0"/>
        <w:autoSpaceDN w:val="0"/>
        <w:adjustRightInd w:val="0"/>
        <w:spacing w:after="0" w:line="240" w:lineRule="auto"/>
        <w:contextualSpacing w:val="0"/>
        <w:rPr>
          <w:rFonts w:cs="TimesNewRomanPSMT"/>
          <w:spacing w:val="0"/>
        </w:rPr>
      </w:pPr>
      <w:r w:rsidRPr="001E3520">
        <w:rPr>
          <w:rFonts w:cs="TimesNewRomanPSMT"/>
          <w:spacing w:val="0"/>
        </w:rPr>
        <w:t xml:space="preserve">individual does not report any criminal convictions, but </w:t>
      </w:r>
      <w:r w:rsidR="003B43CD">
        <w:rPr>
          <w:rFonts w:cs="TimesNewRomanPSMT"/>
          <w:spacing w:val="0"/>
        </w:rPr>
        <w:t xml:space="preserve">the </w:t>
      </w:r>
      <w:r w:rsidRPr="001E3520">
        <w:rPr>
          <w:rFonts w:cs="TimesNewRomanPSMT"/>
          <w:spacing w:val="0"/>
        </w:rPr>
        <w:t>investigation</w:t>
      </w:r>
      <w:r w:rsidR="00D34083">
        <w:rPr>
          <w:rFonts w:cs="TimesNewRomanPSMT"/>
          <w:spacing w:val="0"/>
        </w:rPr>
        <w:t xml:space="preserve"> uncovers</w:t>
      </w:r>
      <w:r w:rsidRPr="001E3520">
        <w:rPr>
          <w:rFonts w:cs="TimesNewRomanPSMT"/>
          <w:spacing w:val="0"/>
        </w:rPr>
        <w:t xml:space="preserve"> </w:t>
      </w:r>
      <w:r w:rsidR="00D34083">
        <w:rPr>
          <w:rFonts w:cs="TimesNewRomanPSMT"/>
          <w:spacing w:val="0"/>
        </w:rPr>
        <w:t>c</w:t>
      </w:r>
      <w:r w:rsidRPr="001E3520">
        <w:rPr>
          <w:rFonts w:cs="TimesNewRomanPSMT"/>
          <w:spacing w:val="0"/>
        </w:rPr>
        <w:t>onvictions, there is evidence of potential false statement by the individual, and the ISP must label that issue within the investigative results in the appropriate place(s) (i.e., in the report of the individual’s personal interview).</w:t>
      </w:r>
    </w:p>
    <w:p w14:paraId="5A5B5F15" w14:textId="4AC10A0D" w:rsidR="00620C5F" w:rsidRPr="001E3520" w:rsidRDefault="00620C5F" w:rsidP="00A06D8B">
      <w:pPr>
        <w:pStyle w:val="ListParagraph"/>
        <w:numPr>
          <w:ilvl w:val="0"/>
          <w:numId w:val="66"/>
        </w:numPr>
        <w:autoSpaceDE w:val="0"/>
        <w:autoSpaceDN w:val="0"/>
        <w:adjustRightInd w:val="0"/>
        <w:spacing w:after="0" w:line="240" w:lineRule="auto"/>
        <w:ind w:left="720"/>
        <w:contextualSpacing w:val="0"/>
        <w:rPr>
          <w:rFonts w:cs="TimesNewRomanPSMT"/>
          <w:spacing w:val="0"/>
        </w:rPr>
      </w:pPr>
      <w:r w:rsidRPr="001E3520">
        <w:rPr>
          <w:rFonts w:cs="TimesNewRomanPSMT"/>
          <w:spacing w:val="0"/>
        </w:rPr>
        <w:t>The methodology must support eAdjudication business rules.</w:t>
      </w:r>
    </w:p>
    <w:p w14:paraId="52276CB2" w14:textId="6346C4BA" w:rsidR="00620C5F" w:rsidRPr="00C54BEC" w:rsidRDefault="00620C5F" w:rsidP="00A06D8B">
      <w:pPr>
        <w:pStyle w:val="ListParagraph"/>
        <w:numPr>
          <w:ilvl w:val="0"/>
          <w:numId w:val="66"/>
        </w:numPr>
        <w:spacing w:line="240" w:lineRule="auto"/>
        <w:ind w:left="720"/>
        <w:contextualSpacing w:val="0"/>
        <w:textAlignment w:val="baseline"/>
        <w:rPr>
          <w:shd w:val="clear" w:color="auto" w:fill="FFFFFF"/>
        </w:rPr>
      </w:pPr>
      <w:r w:rsidRPr="001E3520">
        <w:rPr>
          <w:rFonts w:cs="TimesNewRomanPSMT"/>
          <w:spacing w:val="0"/>
        </w:rPr>
        <w:t>The methodology must align to the overall case characterization.</w:t>
      </w:r>
    </w:p>
    <w:p w14:paraId="6502BCFC" w14:textId="2E54AF5D" w:rsidR="00620C5F" w:rsidRPr="00D54834" w:rsidRDefault="00620C5F" w:rsidP="00575F37">
      <w:pPr>
        <w:spacing w:after="60" w:line="240" w:lineRule="auto"/>
        <w:rPr>
          <w:rStyle w:val="normaltextrun"/>
          <w:shd w:val="clear" w:color="auto" w:fill="FFFFFF"/>
        </w:rPr>
      </w:pPr>
      <w:r w:rsidRPr="00D54834">
        <w:rPr>
          <w:rStyle w:val="normaltextrun"/>
          <w:shd w:val="clear" w:color="auto" w:fill="FFFFFF"/>
        </w:rPr>
        <w:t>Using issue seriousness categorization, the ISP assigns an overall case seriousness category, as follows:</w:t>
      </w:r>
    </w:p>
    <w:p w14:paraId="7B2B5E52" w14:textId="77777777" w:rsidR="00620C5F" w:rsidRPr="001E3520" w:rsidRDefault="00620C5F" w:rsidP="00A06D8B">
      <w:pPr>
        <w:pStyle w:val="ListParagraph"/>
        <w:numPr>
          <w:ilvl w:val="0"/>
          <w:numId w:val="67"/>
        </w:numPr>
        <w:autoSpaceDE w:val="0"/>
        <w:autoSpaceDN w:val="0"/>
        <w:adjustRightInd w:val="0"/>
        <w:spacing w:after="0" w:line="240" w:lineRule="auto"/>
        <w:ind w:left="720"/>
        <w:contextualSpacing w:val="0"/>
        <w:rPr>
          <w:rFonts w:cs="TimesNewRomanPSMT"/>
          <w:spacing w:val="0"/>
        </w:rPr>
      </w:pPr>
      <w:r w:rsidRPr="001E3520">
        <w:rPr>
          <w:rFonts w:cs="TimesNewRomanPS-BoldMT"/>
          <w:b/>
          <w:spacing w:val="0"/>
        </w:rPr>
        <w:t xml:space="preserve">No Issues: </w:t>
      </w:r>
      <w:r w:rsidRPr="001E3520">
        <w:rPr>
          <w:rFonts w:cs="TimesNewRomanPSMT"/>
          <w:spacing w:val="0"/>
        </w:rPr>
        <w:t>The case contains no issues or inconsistent information.</w:t>
      </w:r>
    </w:p>
    <w:p w14:paraId="49CE6D12" w14:textId="59EA8152" w:rsidR="00620C5F" w:rsidRPr="001E3520" w:rsidRDefault="00620C5F" w:rsidP="00A06D8B">
      <w:pPr>
        <w:pStyle w:val="ListParagraph"/>
        <w:numPr>
          <w:ilvl w:val="0"/>
          <w:numId w:val="67"/>
        </w:numPr>
        <w:autoSpaceDE w:val="0"/>
        <w:autoSpaceDN w:val="0"/>
        <w:adjustRightInd w:val="0"/>
        <w:spacing w:after="0" w:line="240" w:lineRule="auto"/>
        <w:ind w:left="720"/>
        <w:contextualSpacing w:val="0"/>
        <w:rPr>
          <w:rFonts w:cs="TimesNewRomanPSMT"/>
          <w:spacing w:val="0"/>
        </w:rPr>
      </w:pPr>
      <w:r w:rsidRPr="001E3520">
        <w:rPr>
          <w:rFonts w:cs="TimesNewRomanPS-BoldMT"/>
          <w:b/>
          <w:spacing w:val="0"/>
        </w:rPr>
        <w:t xml:space="preserve">Minor: </w:t>
      </w:r>
      <w:r w:rsidRPr="001E3520">
        <w:rPr>
          <w:rFonts w:cs="TimesNewRomanPSMT"/>
          <w:spacing w:val="0"/>
        </w:rPr>
        <w:t>The case only contains conduct or issue(s) that are minor in nature.</w:t>
      </w:r>
    </w:p>
    <w:p w14:paraId="0F3B19FE" w14:textId="0B813E98" w:rsidR="00620C5F" w:rsidRPr="001E3520" w:rsidRDefault="00620C5F" w:rsidP="00A06D8B">
      <w:pPr>
        <w:pStyle w:val="ListParagraph"/>
        <w:numPr>
          <w:ilvl w:val="0"/>
          <w:numId w:val="67"/>
        </w:numPr>
        <w:autoSpaceDE w:val="0"/>
        <w:autoSpaceDN w:val="0"/>
        <w:adjustRightInd w:val="0"/>
        <w:spacing w:after="0" w:line="240" w:lineRule="auto"/>
        <w:ind w:left="720"/>
        <w:contextualSpacing w:val="0"/>
        <w:rPr>
          <w:rFonts w:cs="TimesNewRomanPSMT"/>
          <w:spacing w:val="0"/>
        </w:rPr>
      </w:pPr>
      <w:r w:rsidRPr="001E3520">
        <w:rPr>
          <w:rFonts w:cs="TimesNewRomanPS-BoldMT"/>
          <w:b/>
          <w:spacing w:val="0"/>
        </w:rPr>
        <w:t xml:space="preserve">Moderate: </w:t>
      </w:r>
      <w:r w:rsidRPr="001E3520">
        <w:rPr>
          <w:rFonts w:cs="TimesNewRomanPSMT"/>
          <w:spacing w:val="0"/>
        </w:rPr>
        <w:t>The case contains the conduct or issue(s) that could be of moderate</w:t>
      </w:r>
    </w:p>
    <w:p w14:paraId="6960DF91" w14:textId="77777777" w:rsidR="00620C5F" w:rsidRPr="001E3520" w:rsidRDefault="00620C5F" w:rsidP="00575F37">
      <w:pPr>
        <w:autoSpaceDE w:val="0"/>
        <w:autoSpaceDN w:val="0"/>
        <w:adjustRightInd w:val="0"/>
        <w:spacing w:after="0" w:line="240" w:lineRule="auto"/>
        <w:ind w:left="720"/>
        <w:rPr>
          <w:rFonts w:cs="TimesNewRomanPSMT"/>
          <w:spacing w:val="0"/>
        </w:rPr>
      </w:pPr>
      <w:r w:rsidRPr="001E3520">
        <w:rPr>
          <w:rFonts w:cs="TimesNewRomanPSMT"/>
          <w:spacing w:val="0"/>
        </w:rPr>
        <w:t>concern when making an adjudicative determination.</w:t>
      </w:r>
    </w:p>
    <w:p w14:paraId="446DA3A7" w14:textId="2094A458" w:rsidR="00620C5F" w:rsidRPr="001E3520" w:rsidRDefault="00620C5F" w:rsidP="00A06D8B">
      <w:pPr>
        <w:pStyle w:val="ListParagraph"/>
        <w:numPr>
          <w:ilvl w:val="0"/>
          <w:numId w:val="68"/>
        </w:numPr>
        <w:autoSpaceDE w:val="0"/>
        <w:autoSpaceDN w:val="0"/>
        <w:adjustRightInd w:val="0"/>
        <w:spacing w:after="0" w:line="240" w:lineRule="auto"/>
        <w:ind w:left="720"/>
        <w:contextualSpacing w:val="0"/>
        <w:rPr>
          <w:rFonts w:cs="TimesNewRomanPSMT"/>
          <w:spacing w:val="0"/>
        </w:rPr>
      </w:pPr>
      <w:r w:rsidRPr="001E3520">
        <w:rPr>
          <w:rFonts w:cs="TimesNewRomanPS-BoldMT"/>
          <w:b/>
          <w:spacing w:val="0"/>
        </w:rPr>
        <w:t xml:space="preserve">Substantial: </w:t>
      </w:r>
      <w:r w:rsidRPr="001E3520">
        <w:rPr>
          <w:rFonts w:cs="TimesNewRomanPSMT"/>
          <w:spacing w:val="0"/>
        </w:rPr>
        <w:t>The case contains conduct or issue(s) that could likely be of</w:t>
      </w:r>
    </w:p>
    <w:p w14:paraId="3D2C1FAD" w14:textId="77777777" w:rsidR="00620C5F" w:rsidRPr="001E3520" w:rsidRDefault="00620C5F" w:rsidP="00575F37">
      <w:pPr>
        <w:autoSpaceDE w:val="0"/>
        <w:autoSpaceDN w:val="0"/>
        <w:adjustRightInd w:val="0"/>
        <w:spacing w:after="0" w:line="240" w:lineRule="auto"/>
        <w:ind w:left="720"/>
        <w:rPr>
          <w:rFonts w:cs="TimesNewRomanPSMT"/>
          <w:spacing w:val="0"/>
        </w:rPr>
      </w:pPr>
      <w:r w:rsidRPr="001E3520">
        <w:rPr>
          <w:rFonts w:cs="TimesNewRomanPSMT"/>
          <w:spacing w:val="0"/>
        </w:rPr>
        <w:t>substantial concern when making an adjudicative determination.</w:t>
      </w:r>
    </w:p>
    <w:p w14:paraId="60C7F9CD" w14:textId="5DEBBC29" w:rsidR="00620C5F" w:rsidRPr="001E3520" w:rsidRDefault="00620C5F" w:rsidP="00A06D8B">
      <w:pPr>
        <w:pStyle w:val="ListParagraph"/>
        <w:numPr>
          <w:ilvl w:val="0"/>
          <w:numId w:val="68"/>
        </w:numPr>
        <w:autoSpaceDE w:val="0"/>
        <w:autoSpaceDN w:val="0"/>
        <w:adjustRightInd w:val="0"/>
        <w:spacing w:after="0" w:line="240" w:lineRule="auto"/>
        <w:ind w:left="720"/>
        <w:contextualSpacing w:val="0"/>
        <w:rPr>
          <w:rFonts w:cs="TimesNewRomanPSMT"/>
          <w:spacing w:val="0"/>
        </w:rPr>
      </w:pPr>
      <w:r w:rsidRPr="001E3520">
        <w:rPr>
          <w:rFonts w:cs="TimesNewRomanPS-BoldMT"/>
          <w:b/>
          <w:spacing w:val="0"/>
        </w:rPr>
        <w:t xml:space="preserve">Major: </w:t>
      </w:r>
      <w:r w:rsidRPr="001E3520">
        <w:rPr>
          <w:rFonts w:cs="TimesNewRomanPSMT"/>
          <w:spacing w:val="0"/>
        </w:rPr>
        <w:t>The case contains conduct or issue(s) that could be of major concern</w:t>
      </w:r>
    </w:p>
    <w:p w14:paraId="75D4CD73" w14:textId="72C71206" w:rsidR="00620C5F" w:rsidRPr="001E3520" w:rsidRDefault="00620C5F" w:rsidP="00575F37">
      <w:pPr>
        <w:spacing w:line="240" w:lineRule="auto"/>
        <w:ind w:left="720"/>
        <w:textAlignment w:val="baseline"/>
        <w:rPr>
          <w:rStyle w:val="normaltextrun"/>
          <w:color w:val="727477"/>
          <w:shd w:val="clear" w:color="auto" w:fill="FFFFFF"/>
        </w:rPr>
      </w:pPr>
      <w:r w:rsidRPr="001E3520">
        <w:rPr>
          <w:rFonts w:cs="TimesNewRomanPSMT"/>
          <w:spacing w:val="0"/>
        </w:rPr>
        <w:t>when making an adjudicative determination.</w:t>
      </w:r>
    </w:p>
    <w:p w14:paraId="62F799B4" w14:textId="1E340437" w:rsidR="00EA1EA7" w:rsidRPr="005411EE" w:rsidRDefault="00231CD5" w:rsidP="00575F37">
      <w:pPr>
        <w:spacing w:line="240" w:lineRule="auto"/>
        <w:rPr>
          <w:rFonts w:eastAsia="Times New Roman" w:cs="Times New Roman"/>
          <w:spacing w:val="0"/>
        </w:rPr>
      </w:pPr>
      <w:r w:rsidRPr="005411EE">
        <w:rPr>
          <w:rStyle w:val="normaltextrun"/>
          <w:shd w:val="clear" w:color="auto" w:fill="FFFFFF"/>
        </w:rPr>
        <w:t>Agencies may</w:t>
      </w:r>
      <w:r w:rsidR="00620C5F" w:rsidRPr="005411EE">
        <w:rPr>
          <w:rStyle w:val="normaltextrun"/>
          <w:shd w:val="clear" w:color="auto" w:fill="FFFFFF"/>
        </w:rPr>
        <w:t xml:space="preserve"> wish to use the issue seriousness and case categorization to triage cases. Regardless of issue coding and case seriousness levels assigned by the ISP, agencies are ultimately responsible for making the trust determination. </w:t>
      </w:r>
    </w:p>
    <w:p w14:paraId="5F8BDB5C" w14:textId="5CFB9470" w:rsidR="00A55677" w:rsidRPr="00CE0B2C" w:rsidRDefault="00D8550A" w:rsidP="007A154B">
      <w:pPr>
        <w:pStyle w:val="Heading2"/>
        <w:rPr>
          <w:rStyle w:val="normaltextrun"/>
        </w:rPr>
      </w:pPr>
      <w:bookmarkStart w:id="102" w:name="_Toc187052978"/>
      <w:bookmarkStart w:id="103" w:name="_Toc187924154"/>
      <w:bookmarkStart w:id="104" w:name="_Hlk185572395"/>
      <w:r w:rsidRPr="36A80A07">
        <w:rPr>
          <w:rStyle w:val="normaltextrun"/>
        </w:rPr>
        <w:t>3.7</w:t>
      </w:r>
      <w:r w:rsidR="00A55677" w:rsidRPr="36A80A07">
        <w:rPr>
          <w:rStyle w:val="normaltextrun"/>
        </w:rPr>
        <w:t xml:space="preserve"> – Additional Considerations</w:t>
      </w:r>
      <w:bookmarkEnd w:id="102"/>
      <w:bookmarkEnd w:id="103"/>
    </w:p>
    <w:bookmarkEnd w:id="104"/>
    <w:p w14:paraId="31C488AF" w14:textId="273B5356" w:rsidR="00EA1EA7" w:rsidRPr="00224F81" w:rsidRDefault="00EA1EA7" w:rsidP="00575F37">
      <w:pPr>
        <w:widowControl w:val="0"/>
        <w:spacing w:line="240" w:lineRule="auto"/>
        <w:rPr>
          <w:rFonts w:eastAsia="Times New Roman" w:cs="Arial"/>
          <w:spacing w:val="0"/>
        </w:rPr>
      </w:pPr>
      <w:r w:rsidRPr="003E6D65">
        <w:rPr>
          <w:rFonts w:eastAsia="Times New Roman" w:cs="Times New Roman"/>
          <w:color w:val="000000"/>
          <w:spacing w:val="0"/>
        </w:rPr>
        <w:t>In evaluating the relevance of an individual’s conduct, the adjudicator must consider the following factors as outlined in 5 C</w:t>
      </w:r>
      <w:r w:rsidR="009B4CE5">
        <w:rPr>
          <w:rFonts w:eastAsia="Times New Roman" w:cs="Times New Roman"/>
          <w:color w:val="000000"/>
          <w:spacing w:val="0"/>
        </w:rPr>
        <w:t>.</w:t>
      </w:r>
      <w:r w:rsidRPr="003E6D65">
        <w:rPr>
          <w:rFonts w:eastAsia="Times New Roman" w:cs="Times New Roman"/>
          <w:color w:val="000000"/>
          <w:spacing w:val="0"/>
        </w:rPr>
        <w:t>F</w:t>
      </w:r>
      <w:r w:rsidR="009B4CE5">
        <w:rPr>
          <w:rFonts w:eastAsia="Times New Roman" w:cs="Times New Roman"/>
          <w:color w:val="000000"/>
          <w:spacing w:val="0"/>
        </w:rPr>
        <w:t>.</w:t>
      </w:r>
      <w:r w:rsidRPr="003E6D65">
        <w:rPr>
          <w:rFonts w:eastAsia="Times New Roman" w:cs="Times New Roman"/>
          <w:color w:val="000000"/>
          <w:spacing w:val="0"/>
        </w:rPr>
        <w:t>R</w:t>
      </w:r>
      <w:r w:rsidR="009B4CE5">
        <w:rPr>
          <w:rFonts w:eastAsia="Times New Roman" w:cs="Times New Roman"/>
          <w:color w:val="000000"/>
          <w:spacing w:val="0"/>
        </w:rPr>
        <w:t>.</w:t>
      </w:r>
      <w:r w:rsidRPr="003E6D65">
        <w:rPr>
          <w:rFonts w:eastAsia="Times New Roman" w:cs="Times New Roman"/>
          <w:color w:val="000000"/>
          <w:spacing w:val="0"/>
        </w:rPr>
        <w:t xml:space="preserve"> </w:t>
      </w:r>
      <w:r w:rsidR="16AF4BF3" w:rsidRPr="548D0660">
        <w:rPr>
          <w:rFonts w:eastAsia="Times New Roman" w:cs="Times New Roman"/>
          <w:color w:val="000000" w:themeColor="text1"/>
        </w:rPr>
        <w:t xml:space="preserve">§ </w:t>
      </w:r>
      <w:r w:rsidRPr="003E6D65">
        <w:rPr>
          <w:rFonts w:eastAsia="Times New Roman" w:cs="Times New Roman"/>
          <w:color w:val="000000"/>
          <w:spacing w:val="0"/>
        </w:rPr>
        <w:t xml:space="preserve">731.202(c), but only to the extent they deem each one pertinent to the individual case. These factors may be determined to be aggravating or mitigating. It is possible the adjudicator may need to seek additional information about the position or a known issue, such as by requesting it from the subject or requesting it through an investigative service provider, in order to give full consideration to the pertinent factors. </w:t>
      </w:r>
    </w:p>
    <w:p w14:paraId="5BBC75A4" w14:textId="07483DCA" w:rsidR="00EA1EA7" w:rsidRPr="003E6D65" w:rsidRDefault="00EA1EA7" w:rsidP="00A06D8B">
      <w:pPr>
        <w:numPr>
          <w:ilvl w:val="0"/>
          <w:numId w:val="23"/>
        </w:numPr>
        <w:spacing w:after="0" w:line="240" w:lineRule="auto"/>
        <w:contextualSpacing/>
        <w:rPr>
          <w:rFonts w:eastAsia="Calibri" w:cs="Times New Roman"/>
          <w:color w:val="000000"/>
          <w:spacing w:val="0"/>
        </w:rPr>
      </w:pPr>
      <w:r w:rsidRPr="003E6D65">
        <w:rPr>
          <w:rFonts w:eastAsia="Calibri" w:cs="Times New Roman"/>
          <w:color w:val="000000"/>
          <w:spacing w:val="0"/>
          <w:u w:val="single"/>
        </w:rPr>
        <w:t>The nature of the position for which the person is applying or in which the person is employed</w:t>
      </w:r>
      <w:r w:rsidRPr="003E6D65">
        <w:rPr>
          <w:rFonts w:eastAsia="Calibri" w:cs="Times New Roman"/>
          <w:color w:val="000000"/>
          <w:spacing w:val="0"/>
        </w:rPr>
        <w:t xml:space="preserve">. </w:t>
      </w:r>
      <w:r w:rsidRPr="003E6D65">
        <w:rPr>
          <w:rFonts w:eastAsia="Times New Roman" w:cs="Times New Roman"/>
          <w:spacing w:val="0"/>
        </w:rPr>
        <w:t>The more authority, responsibility, sensitivity, and public trust associated with the position, the higher the risks involved and the more potential adverse impact there is to the efficiency or integrity of the service; thus</w:t>
      </w:r>
      <w:r w:rsidR="003E6D65" w:rsidRPr="003E6D65">
        <w:rPr>
          <w:rFonts w:eastAsia="Times New Roman" w:cs="Times New Roman"/>
          <w:spacing w:val="0"/>
        </w:rPr>
        <w:t>,</w:t>
      </w:r>
      <w:r w:rsidRPr="003E6D65">
        <w:rPr>
          <w:rFonts w:eastAsia="Times New Roman" w:cs="Times New Roman"/>
          <w:spacing w:val="0"/>
        </w:rPr>
        <w:t xml:space="preserve"> the misconduct becomes more serious as a potentially disqualifying issue.</w:t>
      </w:r>
    </w:p>
    <w:p w14:paraId="67FA0D23" w14:textId="77777777" w:rsidR="00EA1EA7" w:rsidRPr="003E6D65" w:rsidRDefault="00EA1EA7" w:rsidP="00575F37">
      <w:pPr>
        <w:spacing w:after="0" w:line="240" w:lineRule="auto"/>
        <w:ind w:left="720" w:firstLine="420"/>
        <w:contextualSpacing/>
        <w:rPr>
          <w:rFonts w:eastAsia="Calibri" w:cs="Times New Roman"/>
          <w:color w:val="000000"/>
          <w:spacing w:val="0"/>
        </w:rPr>
      </w:pPr>
      <w:r w:rsidRPr="003E6D65">
        <w:rPr>
          <w:rFonts w:eastAsia="Calibri" w:cs="Times New Roman"/>
          <w:color w:val="000000"/>
          <w:spacing w:val="0"/>
        </w:rPr>
        <w:lastRenderedPageBreak/>
        <w:t xml:space="preserve">For example: </w:t>
      </w:r>
    </w:p>
    <w:p w14:paraId="7ED6DB84" w14:textId="77777777" w:rsidR="00EA1EA7" w:rsidRPr="003E6D65" w:rsidRDefault="00EA1EA7" w:rsidP="00FB0FCC">
      <w:pPr>
        <w:numPr>
          <w:ilvl w:val="0"/>
          <w:numId w:val="79"/>
        </w:numPr>
        <w:spacing w:after="0" w:line="240" w:lineRule="auto"/>
        <w:contextualSpacing/>
        <w:rPr>
          <w:rFonts w:eastAsia="Calibri" w:cs="Times New Roman"/>
          <w:color w:val="000000"/>
          <w:spacing w:val="0"/>
        </w:rPr>
      </w:pPr>
      <w:r w:rsidRPr="003E6D65">
        <w:rPr>
          <w:rFonts w:eastAsia="Calibri" w:cs="Times New Roman"/>
          <w:color w:val="000000"/>
          <w:spacing w:val="0"/>
        </w:rPr>
        <w:t xml:space="preserve">Housekeeping Aid vs. Nurse </w:t>
      </w:r>
    </w:p>
    <w:p w14:paraId="13B0550F" w14:textId="77777777" w:rsidR="00EA1EA7" w:rsidRPr="003E6D65" w:rsidRDefault="00EA1EA7" w:rsidP="00FB0FCC">
      <w:pPr>
        <w:numPr>
          <w:ilvl w:val="0"/>
          <w:numId w:val="79"/>
        </w:numPr>
        <w:spacing w:after="0" w:line="240" w:lineRule="auto"/>
        <w:contextualSpacing/>
        <w:rPr>
          <w:rFonts w:eastAsia="Calibri" w:cs="Times New Roman"/>
          <w:color w:val="000000"/>
          <w:spacing w:val="0"/>
        </w:rPr>
      </w:pPr>
      <w:r w:rsidRPr="003E6D65">
        <w:rPr>
          <w:rFonts w:eastAsia="Calibri" w:cs="Times New Roman"/>
          <w:color w:val="000000"/>
          <w:spacing w:val="0"/>
        </w:rPr>
        <w:t xml:space="preserve">Director vs. Clerk </w:t>
      </w:r>
    </w:p>
    <w:p w14:paraId="6EBBEEE6" w14:textId="77777777" w:rsidR="00EA1EA7" w:rsidRDefault="00EA1EA7" w:rsidP="00FB0FCC">
      <w:pPr>
        <w:numPr>
          <w:ilvl w:val="0"/>
          <w:numId w:val="79"/>
        </w:numPr>
        <w:spacing w:after="0" w:line="240" w:lineRule="auto"/>
        <w:contextualSpacing/>
        <w:jc w:val="both"/>
        <w:rPr>
          <w:rFonts w:eastAsia="Calibri" w:cs="Times New Roman"/>
          <w:color w:val="000000"/>
          <w:spacing w:val="0"/>
        </w:rPr>
      </w:pPr>
      <w:r w:rsidRPr="003E6D65">
        <w:rPr>
          <w:rFonts w:eastAsia="Calibri" w:cs="Times New Roman"/>
          <w:color w:val="000000"/>
          <w:spacing w:val="0"/>
        </w:rPr>
        <w:t xml:space="preserve">Immigration Inspector vs. Secretary </w:t>
      </w:r>
    </w:p>
    <w:p w14:paraId="02209D18" w14:textId="77777777" w:rsidR="00FB0FCC" w:rsidRPr="003E6D65" w:rsidRDefault="00FB0FCC" w:rsidP="00FB0FCC">
      <w:pPr>
        <w:spacing w:after="0" w:line="240" w:lineRule="auto"/>
        <w:ind w:left="1500"/>
        <w:contextualSpacing/>
        <w:jc w:val="both"/>
        <w:rPr>
          <w:rFonts w:eastAsia="Calibri" w:cs="Times New Roman"/>
          <w:color w:val="000000"/>
          <w:spacing w:val="0"/>
        </w:rPr>
      </w:pPr>
    </w:p>
    <w:p w14:paraId="3AC8CE36" w14:textId="33B2552A" w:rsidR="00EA1EA7" w:rsidRPr="003E6D65" w:rsidRDefault="00EA1EA7" w:rsidP="00D44F70">
      <w:pPr>
        <w:spacing w:after="0" w:line="240" w:lineRule="auto"/>
        <w:ind w:left="720"/>
        <w:jc w:val="both"/>
        <w:rPr>
          <w:rFonts w:eastAsia="Times New Roman" w:cs="Times New Roman"/>
          <w:color w:val="000000"/>
          <w:spacing w:val="0"/>
        </w:rPr>
      </w:pPr>
      <w:r w:rsidRPr="003E6D65">
        <w:rPr>
          <w:rFonts w:eastAsia="Times New Roman" w:cs="Times New Roman"/>
          <w:spacing w:val="0"/>
        </w:rPr>
        <w:t xml:space="preserve">The </w:t>
      </w:r>
      <w:r w:rsidRPr="003E6D65">
        <w:rPr>
          <w:rFonts w:eastAsia="Times New Roman" w:cs="Times New Roman"/>
          <w:color w:val="000000"/>
          <w:spacing w:val="0"/>
        </w:rPr>
        <w:t xml:space="preserve">nature of the position may also be pertinent when a direct nexus between the conduct and the core duties or responsibilities of the position exists and should also be considered pertinent if the conduct is directly opposed to the agency’s mission. </w:t>
      </w:r>
    </w:p>
    <w:p w14:paraId="449BD3BF" w14:textId="77777777" w:rsidR="00EA1EA7" w:rsidRPr="003E6D65" w:rsidRDefault="00EA1EA7" w:rsidP="007B547B">
      <w:pPr>
        <w:spacing w:after="0" w:line="240" w:lineRule="auto"/>
        <w:ind w:left="720" w:firstLine="420"/>
        <w:contextualSpacing/>
        <w:rPr>
          <w:rFonts w:eastAsia="Calibri" w:cs="Times New Roman"/>
          <w:color w:val="000000"/>
          <w:spacing w:val="0"/>
        </w:rPr>
      </w:pPr>
      <w:r w:rsidRPr="003E6D65">
        <w:rPr>
          <w:rFonts w:eastAsia="Calibri" w:cs="Times New Roman"/>
          <w:color w:val="000000"/>
          <w:spacing w:val="0"/>
        </w:rPr>
        <w:t xml:space="preserve">For example: </w:t>
      </w:r>
    </w:p>
    <w:p w14:paraId="29170FF8" w14:textId="77777777" w:rsidR="00EA1EA7" w:rsidRPr="003E6D65" w:rsidRDefault="00EA1EA7" w:rsidP="00FB0FCC">
      <w:pPr>
        <w:numPr>
          <w:ilvl w:val="2"/>
          <w:numId w:val="80"/>
        </w:numPr>
        <w:spacing w:after="0" w:line="240" w:lineRule="auto"/>
        <w:contextualSpacing/>
        <w:rPr>
          <w:rFonts w:eastAsia="Calibri" w:cs="Times New Roman"/>
          <w:color w:val="000000"/>
          <w:spacing w:val="0"/>
        </w:rPr>
      </w:pPr>
      <w:r w:rsidRPr="003E6D65">
        <w:rPr>
          <w:rFonts w:eastAsia="Calibri" w:cs="Times New Roman"/>
          <w:color w:val="000000"/>
          <w:spacing w:val="0"/>
        </w:rPr>
        <w:t xml:space="preserve">Individual has multiple traffic offenses and is applying for a driving position. </w:t>
      </w:r>
    </w:p>
    <w:p w14:paraId="74CC5ECE" w14:textId="5A5774C9" w:rsidR="00EA1EA7" w:rsidRPr="003E6D65" w:rsidRDefault="00EA1EA7" w:rsidP="00FB0FCC">
      <w:pPr>
        <w:numPr>
          <w:ilvl w:val="2"/>
          <w:numId w:val="80"/>
        </w:numPr>
        <w:spacing w:after="0" w:line="240" w:lineRule="auto"/>
        <w:contextualSpacing/>
        <w:rPr>
          <w:rFonts w:eastAsia="Calibri" w:cs="Times New Roman"/>
          <w:color w:val="000000"/>
          <w:spacing w:val="0"/>
        </w:rPr>
      </w:pPr>
      <w:r w:rsidRPr="003E6D65">
        <w:rPr>
          <w:rFonts w:eastAsia="Calibri" w:cs="Times New Roman"/>
          <w:color w:val="000000"/>
          <w:spacing w:val="0"/>
        </w:rPr>
        <w:t xml:space="preserve">Individual has several recent convictions for shoplifting and is applying for a store clerk position. </w:t>
      </w:r>
    </w:p>
    <w:p w14:paraId="25620F87" w14:textId="71C76661" w:rsidR="00EA1EA7" w:rsidRPr="00E94524" w:rsidRDefault="00EA1EA7" w:rsidP="007B547B">
      <w:pPr>
        <w:numPr>
          <w:ilvl w:val="2"/>
          <w:numId w:val="80"/>
        </w:numPr>
        <w:spacing w:after="0" w:line="240" w:lineRule="auto"/>
        <w:contextualSpacing/>
        <w:rPr>
          <w:rFonts w:eastAsia="Calibri" w:cs="Times New Roman"/>
          <w:color w:val="000000"/>
          <w:spacing w:val="0"/>
        </w:rPr>
      </w:pPr>
      <w:r w:rsidRPr="003E6D65">
        <w:rPr>
          <w:rFonts w:eastAsia="Calibri" w:cs="Times New Roman"/>
          <w:color w:val="000000"/>
          <w:spacing w:val="0"/>
        </w:rPr>
        <w:t>Individual has history of non-compliance with tax law and is applying for a position with an agency whose mission is to enforce these laws.</w:t>
      </w:r>
    </w:p>
    <w:p w14:paraId="3DFA754D" w14:textId="77777777" w:rsidR="00EA1EA7" w:rsidRPr="003E6D65" w:rsidRDefault="00EA1EA7" w:rsidP="007B547B">
      <w:pPr>
        <w:spacing w:after="0" w:line="240" w:lineRule="auto"/>
        <w:ind w:left="1860"/>
        <w:contextualSpacing/>
        <w:rPr>
          <w:rFonts w:eastAsia="Calibri" w:cs="Times New Roman"/>
          <w:color w:val="000000"/>
          <w:spacing w:val="0"/>
        </w:rPr>
      </w:pPr>
    </w:p>
    <w:p w14:paraId="6D42826F" w14:textId="46AEDD8C" w:rsidR="00EA1EA7" w:rsidRPr="00E94524" w:rsidRDefault="00EA1EA7" w:rsidP="00E94524">
      <w:pPr>
        <w:widowControl w:val="0"/>
        <w:numPr>
          <w:ilvl w:val="0"/>
          <w:numId w:val="23"/>
        </w:numPr>
        <w:spacing w:after="0" w:line="240" w:lineRule="auto"/>
        <w:contextualSpacing/>
        <w:rPr>
          <w:rFonts w:eastAsia="Calibri" w:cs="Times New Roman"/>
          <w:color w:val="000000"/>
          <w:spacing w:val="0"/>
        </w:rPr>
      </w:pPr>
      <w:r w:rsidRPr="003E6D65">
        <w:rPr>
          <w:rFonts w:eastAsia="Calibri" w:cs="Times New Roman"/>
          <w:color w:val="000000"/>
          <w:spacing w:val="0"/>
          <w:u w:val="single"/>
        </w:rPr>
        <w:t>The nature and seriousness of the conduct</w:t>
      </w:r>
      <w:r w:rsidRPr="003E6D65">
        <w:rPr>
          <w:rFonts w:eastAsia="Calibri" w:cs="Times New Roman"/>
          <w:color w:val="000000"/>
          <w:spacing w:val="0"/>
        </w:rPr>
        <w:t xml:space="preserve">. The more serious the conduct, the greater the potential for a negative suitability or fitness determination. The assessment is based upon the actual conduct that occurred, and not upon the disposition or outcome. </w:t>
      </w:r>
    </w:p>
    <w:p w14:paraId="2B92C0BB" w14:textId="77777777" w:rsidR="00EA1EA7" w:rsidRPr="003E6D65" w:rsidRDefault="00EA1EA7" w:rsidP="007B547B">
      <w:pPr>
        <w:widowControl w:val="0"/>
        <w:spacing w:after="0" w:line="240" w:lineRule="auto"/>
        <w:ind w:left="720"/>
        <w:contextualSpacing/>
        <w:rPr>
          <w:rFonts w:eastAsia="Calibri" w:cs="Times New Roman"/>
          <w:color w:val="000000"/>
          <w:spacing w:val="0"/>
        </w:rPr>
      </w:pPr>
    </w:p>
    <w:p w14:paraId="54A0E86F" w14:textId="3143BD68" w:rsidR="00EA1EA7" w:rsidRPr="00344975" w:rsidRDefault="00EA1EA7" w:rsidP="00344975">
      <w:pPr>
        <w:numPr>
          <w:ilvl w:val="0"/>
          <w:numId w:val="23"/>
        </w:numPr>
        <w:spacing w:after="0" w:line="240" w:lineRule="auto"/>
        <w:contextualSpacing/>
        <w:rPr>
          <w:rFonts w:eastAsia="Calibri" w:cs="Times New Roman"/>
          <w:color w:val="000000"/>
          <w:spacing w:val="0"/>
        </w:rPr>
      </w:pPr>
      <w:r w:rsidRPr="003E6D65">
        <w:rPr>
          <w:rFonts w:eastAsia="Calibri" w:cs="Arial"/>
          <w:spacing w:val="0"/>
          <w:u w:val="single"/>
        </w:rPr>
        <w:t>The circumstances surrounding the conduct.</w:t>
      </w:r>
      <w:r w:rsidRPr="003E6D65">
        <w:rPr>
          <w:rFonts w:eastAsia="Calibri" w:cs="Arial"/>
          <w:spacing w:val="0"/>
        </w:rPr>
        <w:t xml:space="preserve"> Full facts and circumstances are essential to ensure fairness to the person and to protect the interests of the Government. </w:t>
      </w:r>
      <w:r w:rsidRPr="003E6D65">
        <w:rPr>
          <w:rFonts w:eastAsia="Calibri" w:cs="Times New Roman"/>
          <w:color w:val="000000"/>
          <w:spacing w:val="0"/>
        </w:rPr>
        <w:t>When the circumstances surrounding the conduct make it more serious or less serious than on face value, this may be a pertinent consideration. For example, a school bus driver is involved in an accident while driving a bus full of students,</w:t>
      </w:r>
      <w:r w:rsidRPr="003E6D65">
        <w:rPr>
          <w:rFonts w:eastAsia="Calibri" w:cs="Arial"/>
          <w:spacing w:val="0"/>
        </w:rPr>
        <w:t xml:space="preserve"> and it is determined the bus driver was driving while intoxicated. The detail of knowing the bus driver was intoxicated is an important aggravating circumstance. </w:t>
      </w:r>
    </w:p>
    <w:p w14:paraId="2B3C8C04" w14:textId="77777777" w:rsidR="00EA1EA7" w:rsidRPr="003E6D65" w:rsidRDefault="00EA1EA7" w:rsidP="007B547B">
      <w:pPr>
        <w:spacing w:after="0" w:line="240" w:lineRule="auto"/>
        <w:ind w:left="2160"/>
        <w:contextualSpacing/>
        <w:rPr>
          <w:rFonts w:eastAsia="Calibri" w:cs="Times New Roman"/>
          <w:color w:val="000000"/>
          <w:spacing w:val="0"/>
        </w:rPr>
      </w:pPr>
    </w:p>
    <w:p w14:paraId="4CD44BB2" w14:textId="56984A02" w:rsidR="00EA1EA7" w:rsidRPr="003E6D65" w:rsidRDefault="00EA1EA7" w:rsidP="00A06D8B">
      <w:pPr>
        <w:numPr>
          <w:ilvl w:val="0"/>
          <w:numId w:val="23"/>
        </w:numPr>
        <w:spacing w:after="0" w:line="240" w:lineRule="auto"/>
        <w:contextualSpacing/>
        <w:rPr>
          <w:rFonts w:eastAsia="Calibri" w:cs="Times New Roman"/>
          <w:color w:val="000000"/>
          <w:spacing w:val="0"/>
        </w:rPr>
      </w:pPr>
      <w:r w:rsidRPr="003E6D65">
        <w:rPr>
          <w:rFonts w:eastAsia="Calibri" w:cs="Times New Roman"/>
          <w:color w:val="000000"/>
          <w:spacing w:val="0"/>
          <w:u w:val="single"/>
        </w:rPr>
        <w:t>The recency of the conduct</w:t>
      </w:r>
      <w:r w:rsidRPr="003E6D65">
        <w:rPr>
          <w:rFonts w:eastAsia="Calibri" w:cs="Times New Roman"/>
          <w:b/>
          <w:color w:val="000000"/>
          <w:spacing w:val="0"/>
          <w:u w:val="single"/>
        </w:rPr>
        <w:t>.</w:t>
      </w:r>
      <w:r w:rsidRPr="003E6D65">
        <w:rPr>
          <w:rFonts w:eastAsia="Calibri" w:cs="Times New Roman"/>
          <w:color w:val="000000"/>
          <w:spacing w:val="0"/>
        </w:rPr>
        <w:t xml:space="preserve"> The more recent the conduct, the greater the potential for concern. As a point of reference, conduct occurring within three years of review can generally be considered recent</w:t>
      </w:r>
      <w:r w:rsidR="008338E3" w:rsidRPr="003E6D65">
        <w:rPr>
          <w:rStyle w:val="FootnoteReference"/>
          <w:rFonts w:eastAsia="Calibri" w:cs="Times New Roman"/>
          <w:color w:val="000000"/>
          <w:spacing w:val="0"/>
        </w:rPr>
        <w:footnoteReference w:id="7"/>
      </w:r>
      <w:r w:rsidRPr="003E6D65">
        <w:rPr>
          <w:rFonts w:eastAsia="Calibri" w:cs="Times New Roman"/>
          <w:color w:val="000000"/>
          <w:spacing w:val="0"/>
        </w:rPr>
        <w:t xml:space="preserve">; however, it is ultimately the adjudicator who will decide if the age of the conduct is mitigating or aggravating based upon the individual circumstances of the case. </w:t>
      </w:r>
    </w:p>
    <w:p w14:paraId="0768C821" w14:textId="77777777" w:rsidR="00EA1EA7" w:rsidRPr="003E6D65" w:rsidRDefault="00EA1EA7" w:rsidP="007B547B">
      <w:pPr>
        <w:spacing w:after="0" w:line="240" w:lineRule="auto"/>
        <w:ind w:left="720"/>
        <w:contextualSpacing/>
        <w:rPr>
          <w:rFonts w:eastAsia="Calibri" w:cs="Times New Roman"/>
          <w:color w:val="000000"/>
          <w:spacing w:val="0"/>
        </w:rPr>
      </w:pPr>
    </w:p>
    <w:p w14:paraId="59D25302" w14:textId="72CE2A14" w:rsidR="00EA1EA7" w:rsidRPr="003E6D65" w:rsidRDefault="00EA1EA7" w:rsidP="00A06D8B">
      <w:pPr>
        <w:numPr>
          <w:ilvl w:val="0"/>
          <w:numId w:val="23"/>
        </w:numPr>
        <w:spacing w:after="0" w:line="240" w:lineRule="auto"/>
        <w:contextualSpacing/>
        <w:rPr>
          <w:rFonts w:eastAsia="Calibri" w:cs="Times New Roman"/>
          <w:color w:val="000000"/>
          <w:spacing w:val="0"/>
        </w:rPr>
      </w:pPr>
      <w:r w:rsidRPr="003E6D65">
        <w:rPr>
          <w:rFonts w:eastAsia="Calibri" w:cs="Times New Roman"/>
          <w:color w:val="000000"/>
          <w:spacing w:val="0"/>
          <w:u w:val="single"/>
        </w:rPr>
        <w:t>The age of the person at the time of the conduct.</w:t>
      </w:r>
      <w:r w:rsidRPr="003E6D65">
        <w:rPr>
          <w:rFonts w:eastAsia="Calibri" w:cs="Times New Roman"/>
          <w:b/>
          <w:color w:val="000000"/>
          <w:spacing w:val="0"/>
        </w:rPr>
        <w:t xml:space="preserve"> </w:t>
      </w:r>
      <w:r w:rsidRPr="003E6D65">
        <w:rPr>
          <w:rFonts w:eastAsia="Calibri" w:cs="Times New Roman"/>
          <w:color w:val="000000"/>
          <w:spacing w:val="0"/>
        </w:rPr>
        <w:t>Conduct that can be attributed to a youthful indiscretion may be viewed less seriously.</w:t>
      </w:r>
    </w:p>
    <w:p w14:paraId="74C75654" w14:textId="77777777" w:rsidR="00EA1EA7" w:rsidRPr="003E6D65" w:rsidRDefault="00EA1EA7" w:rsidP="007B547B">
      <w:pPr>
        <w:spacing w:after="0" w:line="240" w:lineRule="auto"/>
        <w:ind w:left="2160"/>
        <w:contextualSpacing/>
        <w:rPr>
          <w:rFonts w:eastAsia="Calibri" w:cs="Times New Roman"/>
          <w:color w:val="000000"/>
          <w:spacing w:val="0"/>
        </w:rPr>
      </w:pPr>
    </w:p>
    <w:p w14:paraId="1E47D638" w14:textId="7FF46B9D" w:rsidR="00EA1EA7" w:rsidRPr="003E6D65" w:rsidRDefault="00EA1EA7" w:rsidP="00A06D8B">
      <w:pPr>
        <w:numPr>
          <w:ilvl w:val="0"/>
          <w:numId w:val="23"/>
        </w:numPr>
        <w:spacing w:after="0" w:line="240" w:lineRule="auto"/>
        <w:contextualSpacing/>
        <w:rPr>
          <w:rFonts w:eastAsia="Calibri" w:cs="Times New Roman"/>
          <w:color w:val="000000"/>
          <w:spacing w:val="0"/>
        </w:rPr>
      </w:pPr>
      <w:r w:rsidRPr="003E6D65">
        <w:rPr>
          <w:rFonts w:eastAsia="Calibri" w:cs="Times New Roman"/>
          <w:color w:val="000000"/>
          <w:spacing w:val="0"/>
          <w:u w:val="single"/>
        </w:rPr>
        <w:t>Contributing societal conditions.</w:t>
      </w:r>
      <w:r w:rsidRPr="003E6D65">
        <w:rPr>
          <w:rFonts w:eastAsia="Calibri" w:cs="Times New Roman"/>
          <w:b/>
          <w:color w:val="000000"/>
          <w:spacing w:val="0"/>
        </w:rPr>
        <w:t xml:space="preserve"> </w:t>
      </w:r>
      <w:r w:rsidRPr="003E6D65">
        <w:rPr>
          <w:rFonts w:eastAsia="Calibri" w:cs="Times New Roman"/>
          <w:color w:val="000000"/>
          <w:spacing w:val="0"/>
        </w:rPr>
        <w:t xml:space="preserve">Economic and cultural conditions might be relevant factors to consider, especially if the conditions are now removed. </w:t>
      </w:r>
    </w:p>
    <w:p w14:paraId="44F1E601" w14:textId="77777777" w:rsidR="00EA1EA7" w:rsidRPr="003E6D65" w:rsidRDefault="00EA1EA7" w:rsidP="007B547B">
      <w:pPr>
        <w:spacing w:after="0" w:line="240" w:lineRule="auto"/>
        <w:ind w:left="720"/>
        <w:contextualSpacing/>
        <w:rPr>
          <w:rFonts w:eastAsia="Calibri" w:cs="Times New Roman"/>
          <w:color w:val="000000"/>
          <w:spacing w:val="0"/>
        </w:rPr>
      </w:pPr>
    </w:p>
    <w:p w14:paraId="36C40A77" w14:textId="571FB259" w:rsidR="00531854" w:rsidRPr="00AD5E61" w:rsidRDefault="00EA1EA7" w:rsidP="00A06D8B">
      <w:pPr>
        <w:numPr>
          <w:ilvl w:val="0"/>
          <w:numId w:val="23"/>
        </w:numPr>
        <w:spacing w:after="0" w:line="240" w:lineRule="auto"/>
        <w:contextualSpacing/>
        <w:rPr>
          <w:rFonts w:eastAsia="Calibri" w:cs="Times New Roman"/>
          <w:color w:val="000000"/>
          <w:spacing w:val="0"/>
        </w:rPr>
      </w:pPr>
      <w:r w:rsidRPr="003E6D65">
        <w:rPr>
          <w:rFonts w:eastAsia="Calibri" w:cs="Times New Roman"/>
          <w:color w:val="000000"/>
          <w:spacing w:val="0"/>
          <w:u w:val="single"/>
        </w:rPr>
        <w:t>The absence or presence of rehabilitation or efforts toward rehabilitation.</w:t>
      </w:r>
      <w:r w:rsidRPr="003E6D65">
        <w:rPr>
          <w:rFonts w:eastAsia="Calibri" w:cs="Times New Roman"/>
          <w:b/>
          <w:color w:val="000000"/>
          <w:spacing w:val="0"/>
        </w:rPr>
        <w:t xml:space="preserve"> </w:t>
      </w:r>
      <w:r w:rsidRPr="003E6D65">
        <w:rPr>
          <w:rFonts w:eastAsia="Calibri" w:cs="Times New Roman"/>
          <w:color w:val="000000"/>
          <w:spacing w:val="0"/>
        </w:rPr>
        <w:t xml:space="preserve">Rehabilitation may be a consideration for all conduct, not just alcohol and drug abuse. While formal counseling or treatment may be a consideration, other factors, such as the individual’s employment record, may also be indications of rehabilitation. </w:t>
      </w:r>
      <w:r w:rsidRPr="003E6D65">
        <w:rPr>
          <w:rFonts w:eastAsia="Calibri" w:cs="Times New Roman"/>
          <w:color w:val="000000"/>
          <w:spacing w:val="0"/>
        </w:rPr>
        <w:lastRenderedPageBreak/>
        <w:t xml:space="preserve">Rehabilitation is not confined to a set time frame. The assessment of efforts toward rehabilitation is independent of consideration of the recency of the conduct. Some individuals may demonstrate rehabilitation within a short time period, while others may not demonstrate rehabilitation from similar conduct over a lengthy time period. </w:t>
      </w:r>
    </w:p>
    <w:p w14:paraId="583A9CBF" w14:textId="09AF79C6" w:rsidR="00531854" w:rsidRPr="00E94524" w:rsidRDefault="00C83727" w:rsidP="00E94524">
      <w:pPr>
        <w:pStyle w:val="Heading2"/>
      </w:pPr>
      <w:bookmarkStart w:id="105" w:name="_Toc187924155"/>
      <w:r w:rsidRPr="36A80A07">
        <w:rPr>
          <w:rStyle w:val="normaltextrun"/>
        </w:rPr>
        <w:t>3.8</w:t>
      </w:r>
      <w:r w:rsidR="00531854" w:rsidRPr="36A80A07">
        <w:rPr>
          <w:rStyle w:val="normaltextrun"/>
        </w:rPr>
        <w:t xml:space="preserve"> – Adjudicative Determination Process Guide</w:t>
      </w:r>
      <w:bookmarkEnd w:id="105"/>
    </w:p>
    <w:p w14:paraId="7142D6E9" w14:textId="29F8D612" w:rsidR="00EA1EA7" w:rsidRPr="003E6D65" w:rsidRDefault="00EA1EA7" w:rsidP="00B176CC">
      <w:pPr>
        <w:spacing w:after="0" w:line="240" w:lineRule="auto"/>
        <w:rPr>
          <w:rFonts w:eastAsia="Times New Roman" w:cs="Times New Roman"/>
          <w:spacing w:val="0"/>
        </w:rPr>
      </w:pPr>
      <w:r w:rsidRPr="003E6D65">
        <w:rPr>
          <w:rFonts w:eastAsia="Times New Roman" w:cs="Times New Roman"/>
          <w:spacing w:val="0"/>
        </w:rPr>
        <w:t xml:space="preserve">The following guide is intended to illustrate </w:t>
      </w:r>
      <w:r w:rsidR="00903CF2">
        <w:rPr>
          <w:rFonts w:eastAsia="Times New Roman" w:cs="Times New Roman"/>
          <w:spacing w:val="0"/>
        </w:rPr>
        <w:t>a</w:t>
      </w:r>
      <w:r w:rsidR="00903CF2" w:rsidRPr="003E6D65">
        <w:rPr>
          <w:rFonts w:eastAsia="Times New Roman" w:cs="Times New Roman"/>
          <w:spacing w:val="0"/>
        </w:rPr>
        <w:t xml:space="preserve"> </w:t>
      </w:r>
      <w:r w:rsidRPr="003E6D65">
        <w:rPr>
          <w:rFonts w:eastAsia="Times New Roman" w:cs="Times New Roman"/>
          <w:spacing w:val="0"/>
        </w:rPr>
        <w:t>comprehensive approach to making an adjudicative determination discussed in this Volume, and to provide general application/discussion information specific to each suitability factor. Disqualifying conduct may be a concern for more than one factor. For example, embezzlement would be considered criminal conduct, dishonest conduct, and</w:t>
      </w:r>
      <w:r w:rsidR="00531854" w:rsidRPr="003E6D65">
        <w:rPr>
          <w:rFonts w:eastAsia="Times New Roman" w:cs="Times New Roman"/>
          <w:spacing w:val="0"/>
        </w:rPr>
        <w:t xml:space="preserve"> </w:t>
      </w:r>
      <w:r w:rsidRPr="003E6D65">
        <w:rPr>
          <w:rFonts w:eastAsia="Times New Roman" w:cs="Times New Roman"/>
          <w:spacing w:val="0"/>
        </w:rPr>
        <w:t>evidence of misconduct or negligence in employment if the conduct occurred on the job. This guide is not intended to be all inconclusive or replace careful evaluation of all available information that may have a bearing on an individual’s suitability or fitness.</w:t>
      </w:r>
    </w:p>
    <w:p w14:paraId="2C3BA208" w14:textId="77777777" w:rsidR="00EA1EA7" w:rsidRPr="003E6D65" w:rsidRDefault="00EA1EA7" w:rsidP="00B176CC">
      <w:pPr>
        <w:spacing w:after="0" w:line="240" w:lineRule="auto"/>
        <w:rPr>
          <w:rFonts w:eastAsia="Times New Roman" w:cs="Times New Roman"/>
          <w:spacing w:val="0"/>
        </w:rPr>
      </w:pPr>
    </w:p>
    <w:p w14:paraId="41609814" w14:textId="713ECCB1" w:rsidR="00EA1EA7" w:rsidRPr="003E6D65" w:rsidRDefault="00EA1EA7" w:rsidP="006179DF">
      <w:pPr>
        <w:spacing w:after="0" w:line="240" w:lineRule="auto"/>
        <w:rPr>
          <w:rFonts w:eastAsia="Times New Roman" w:cs="Arial"/>
          <w:spacing w:val="0"/>
        </w:rPr>
      </w:pPr>
      <w:r w:rsidRPr="003E6D65">
        <w:rPr>
          <w:rFonts w:eastAsia="Times New Roman" w:cs="Times New Roman"/>
          <w:spacing w:val="0"/>
        </w:rPr>
        <w:t xml:space="preserve">It is important for the adjudicator to be able to identify falsification. Falsification is of major concern since it calls into question a person’s integrity and honesty. Simply stated, falsification can manifest in many different ways. The most obvious type of falsification is an omission or concealment of relevant information; however, falsification also includes providing misleading information, exaggerating education or qualifications, and in some instances, submission of altered or fraudulent documents. Agencies may wish to use the </w:t>
      </w:r>
      <w:r w:rsidRPr="003E6D65">
        <w:rPr>
          <w:rFonts w:eastAsia="Times New Roman" w:cs="Times New Roman"/>
          <w:i/>
          <w:spacing w:val="0"/>
        </w:rPr>
        <w:t>Issue Identification and Assessment Job Aid</w:t>
      </w:r>
      <w:r w:rsidRPr="003E6D65">
        <w:rPr>
          <w:rFonts w:eastAsia="Times New Roman" w:cs="Times New Roman"/>
          <w:spacing w:val="0"/>
        </w:rPr>
        <w:t xml:space="preserve"> to </w:t>
      </w:r>
      <w:r w:rsidRPr="003E6D65">
        <w:rPr>
          <w:rFonts w:eastAsia="Times New Roman" w:cs="Arial"/>
          <w:spacing w:val="0"/>
        </w:rPr>
        <w:t xml:space="preserve">assist the adjudicator in identifying issues and evaluating pertinent factors and other relevant information. </w:t>
      </w:r>
    </w:p>
    <w:p w14:paraId="31B71D2B" w14:textId="77777777" w:rsidR="00EA1EA7" w:rsidRPr="003E6D65" w:rsidRDefault="00EA1EA7" w:rsidP="00B176CC">
      <w:pPr>
        <w:widowControl w:val="0"/>
        <w:spacing w:after="0" w:line="240" w:lineRule="auto"/>
        <w:rPr>
          <w:rFonts w:eastAsia="Times New Roman" w:cs="Arial"/>
          <w:spacing w:val="0"/>
        </w:rPr>
      </w:pPr>
    </w:p>
    <w:p w14:paraId="543BF3E9" w14:textId="738BDC87" w:rsidR="00EA1EA7" w:rsidRPr="00EA1EA7" w:rsidRDefault="00531854" w:rsidP="00804F31">
      <w:pPr>
        <w:spacing w:after="160" w:line="259" w:lineRule="auto"/>
        <w:rPr>
          <w:rFonts w:ascii="CG Times" w:eastAsia="Times New Roman" w:hAnsi="CG Times" w:cs="Arial"/>
          <w:spacing w:val="0"/>
          <w:sz w:val="23"/>
          <w:szCs w:val="20"/>
        </w:rPr>
      </w:pPr>
      <w:r>
        <w:rPr>
          <w:rFonts w:ascii="CG Times" w:eastAsia="Times New Roman" w:hAnsi="CG Times" w:cs="Arial"/>
          <w:spacing w:val="0"/>
          <w:sz w:val="23"/>
          <w:szCs w:val="20"/>
        </w:rPr>
        <w:br w:type="page"/>
      </w:r>
    </w:p>
    <w:p w14:paraId="2A9F8279" w14:textId="77777777" w:rsidR="00EA1EA7" w:rsidRPr="00EA1EA7" w:rsidRDefault="00EA1EA7" w:rsidP="00B176CC">
      <w:pPr>
        <w:widowControl w:val="0"/>
        <w:spacing w:after="0" w:line="240" w:lineRule="auto"/>
        <w:rPr>
          <w:rFonts w:ascii="CG Times" w:eastAsia="Times New Roman" w:hAnsi="CG Times" w:cs="Times New Roman"/>
          <w:spacing w:val="0"/>
          <w:sz w:val="23"/>
          <w:szCs w:val="20"/>
        </w:rPr>
      </w:pPr>
    </w:p>
    <w:p w14:paraId="445D19C6" w14:textId="64A88EE1" w:rsidR="00EA1EA7" w:rsidRDefault="00A26CB4" w:rsidP="004D17B1">
      <w:pPr>
        <w:pStyle w:val="Heading5"/>
      </w:pPr>
      <w:r>
        <w:t>Issue Identification and Assessment Job Aid</w:t>
      </w:r>
      <w:r w:rsidR="006D5C90">
        <w:t xml:space="preserve"> </w:t>
      </w:r>
      <w:r w:rsidR="00D43B0F">
        <w:t>-</w:t>
      </w:r>
      <w:r w:rsidR="006D5C90">
        <w:t xml:space="preserve"> </w:t>
      </w:r>
      <w:r w:rsidR="00D43B0F">
        <w:t>Figure 1</w:t>
      </w:r>
      <w:r w:rsidR="00E16B4A">
        <w:t xml:space="preserve"> </w:t>
      </w:r>
      <w:r w:rsidR="004D17B1">
        <w:t>V</w:t>
      </w:r>
      <w:r w:rsidR="00D43B0F">
        <w:t>3</w:t>
      </w:r>
    </w:p>
    <w:p w14:paraId="5C5383A6" w14:textId="77B9EC8D" w:rsidR="007C3043" w:rsidRPr="00DA61F9" w:rsidRDefault="00DA61F9" w:rsidP="00DA61F9">
      <w:r>
        <w:rPr>
          <w:noProof/>
        </w:rPr>
        <w:drawing>
          <wp:inline distT="0" distB="0" distL="0" distR="0" wp14:anchorId="54CF18EB" wp14:editId="2D357AEF">
            <wp:extent cx="6267450" cy="7753350"/>
            <wp:effectExtent l="0" t="0" r="0" b="0"/>
            <wp:docPr id="1727863786" name="Picture 1" descr="A picture of a job aid that may be used by adjudicators to document the issues in a case and use the additional considerations, as pertinent, to determine if issues are aggravated or mitig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863786" name="Picture 1" descr="A picture of a job aid that may be used by adjudicators to document the issues in a case and use the additional considerations, as pertinent, to determine if issues are aggravated or mitigated.  "/>
                    <pic:cNvPicPr/>
                  </pic:nvPicPr>
                  <pic:blipFill>
                    <a:blip r:embed="rId23">
                      <a:extLst>
                        <a:ext uri="{28A0092B-C50C-407E-A947-70E740481C1C}">
                          <a14:useLocalDpi xmlns:a14="http://schemas.microsoft.com/office/drawing/2010/main" val="0"/>
                        </a:ext>
                      </a:extLst>
                    </a:blip>
                    <a:stretch>
                      <a:fillRect/>
                    </a:stretch>
                  </pic:blipFill>
                  <pic:spPr>
                    <a:xfrm>
                      <a:off x="0" y="0"/>
                      <a:ext cx="6267780" cy="7753758"/>
                    </a:xfrm>
                    <a:prstGeom prst="rect">
                      <a:avLst/>
                    </a:prstGeom>
                  </pic:spPr>
                </pic:pic>
              </a:graphicData>
            </a:graphic>
          </wp:inline>
        </w:drawing>
      </w:r>
    </w:p>
    <w:p w14:paraId="7DAACBF8" w14:textId="77777777" w:rsidR="007C3043" w:rsidRDefault="007C3043" w:rsidP="00B176CC">
      <w:pPr>
        <w:widowControl w:val="0"/>
        <w:spacing w:after="0" w:line="240" w:lineRule="auto"/>
        <w:rPr>
          <w:rFonts w:ascii="CG Times" w:eastAsia="Times New Roman" w:hAnsi="CG Times" w:cs="Times New Roman"/>
          <w:b/>
          <w:spacing w:val="0"/>
          <w:sz w:val="28"/>
          <w:szCs w:val="28"/>
        </w:rPr>
      </w:pPr>
    </w:p>
    <w:p w14:paraId="1BE08B4D" w14:textId="77777777" w:rsidR="007C3043" w:rsidRPr="00EA1EA7" w:rsidRDefault="007C3043" w:rsidP="00B176CC">
      <w:pPr>
        <w:widowControl w:val="0"/>
        <w:spacing w:after="0" w:line="240" w:lineRule="auto"/>
        <w:rPr>
          <w:rFonts w:ascii="CG Times" w:eastAsia="Times New Roman" w:hAnsi="CG Times" w:cs="Times New Roman"/>
          <w:b/>
          <w:spacing w:val="0"/>
          <w:sz w:val="28"/>
          <w:szCs w:val="28"/>
        </w:rPr>
      </w:pPr>
    </w:p>
    <w:p w14:paraId="107DD18C" w14:textId="2BDF4F03" w:rsidR="00531854" w:rsidRPr="00E94524" w:rsidRDefault="00250B3A" w:rsidP="00E94524">
      <w:pPr>
        <w:pStyle w:val="Heading3"/>
      </w:pPr>
      <w:bookmarkStart w:id="106" w:name="_3.8.1_–_Adjudicative"/>
      <w:bookmarkStart w:id="107" w:name="_Toc187924156"/>
      <w:bookmarkEnd w:id="106"/>
      <w:r w:rsidRPr="36A80A07">
        <w:rPr>
          <w:rStyle w:val="normaltextrun"/>
        </w:rPr>
        <w:t>3</w:t>
      </w:r>
      <w:r w:rsidR="00531854" w:rsidRPr="36A80A07">
        <w:rPr>
          <w:rStyle w:val="normaltextrun"/>
        </w:rPr>
        <w:t>.</w:t>
      </w:r>
      <w:r w:rsidR="0090467A" w:rsidRPr="36A80A07">
        <w:rPr>
          <w:rStyle w:val="normaltextrun"/>
        </w:rPr>
        <w:t>8.1</w:t>
      </w:r>
      <w:r w:rsidR="00531854" w:rsidRPr="36A80A07">
        <w:rPr>
          <w:rStyle w:val="normaltextrun"/>
        </w:rPr>
        <w:t xml:space="preserve"> – Adjudicative Determination – Issues of Concern Remain</w:t>
      </w:r>
      <w:bookmarkEnd w:id="107"/>
    </w:p>
    <w:p w14:paraId="041A0630" w14:textId="52BF27FE" w:rsidR="00EA1EA7" w:rsidRPr="00E278BD" w:rsidRDefault="00EA1EA7" w:rsidP="00B176CC">
      <w:pPr>
        <w:widowControl w:val="0"/>
        <w:spacing w:after="0" w:line="240" w:lineRule="auto"/>
        <w:rPr>
          <w:rFonts w:eastAsia="Times New Roman" w:cs="Arial"/>
          <w:spacing w:val="0"/>
        </w:rPr>
      </w:pPr>
      <w:r w:rsidRPr="00E278BD">
        <w:rPr>
          <w:rFonts w:eastAsia="Times New Roman" w:cs="Arial"/>
          <w:spacing w:val="0"/>
        </w:rPr>
        <w:t xml:space="preserve">If upon application of this process, there remain unmitigated issues of concern, then a favorable determination under 5 CFR </w:t>
      </w:r>
      <w:r w:rsidR="3703C3FC" w:rsidRPr="548D0660">
        <w:rPr>
          <w:rFonts w:eastAsia="Times New Roman" w:cs="Times New Roman"/>
          <w:color w:val="000000" w:themeColor="text1"/>
        </w:rPr>
        <w:t xml:space="preserve">§ </w:t>
      </w:r>
      <w:r w:rsidRPr="00E278BD">
        <w:rPr>
          <w:rFonts w:eastAsia="Times New Roman" w:cs="Arial"/>
          <w:spacing w:val="0"/>
        </w:rPr>
        <w:t xml:space="preserve">731 cannot be made. If the case involves an applicant, meaning an individual who is being considered or has been considered for a </w:t>
      </w:r>
      <w:r w:rsidR="00D34083">
        <w:rPr>
          <w:rFonts w:eastAsia="Times New Roman" w:cs="Arial"/>
          <w:spacing w:val="0"/>
        </w:rPr>
        <w:t>competitive service or career Senior Executive Service position</w:t>
      </w:r>
      <w:r w:rsidRPr="00E278BD">
        <w:rPr>
          <w:rFonts w:eastAsia="Times New Roman" w:cs="Arial"/>
          <w:spacing w:val="0"/>
        </w:rPr>
        <w:t xml:space="preserve">, or an appointee, meaning an individual who is in their first year of a subject to investigation appointment to </w:t>
      </w:r>
      <w:r w:rsidR="00D34083">
        <w:rPr>
          <w:rFonts w:eastAsia="Times New Roman" w:cs="Arial"/>
          <w:spacing w:val="0"/>
        </w:rPr>
        <w:t>a competitive service or career Senior Executive Service position or is on an initial or trial period beyond the first year</w:t>
      </w:r>
      <w:r w:rsidRPr="00E278BD">
        <w:rPr>
          <w:rFonts w:eastAsia="Times New Roman" w:cs="Arial"/>
          <w:spacing w:val="0"/>
        </w:rPr>
        <w:t xml:space="preserve">, the agency has the option to pursue a suitability action. </w:t>
      </w:r>
      <w:r w:rsidR="001F7E35" w:rsidRPr="00E278BD">
        <w:rPr>
          <w:rFonts w:eastAsia="Times New Roman" w:cs="Arial"/>
          <w:spacing w:val="0"/>
        </w:rPr>
        <w:t xml:space="preserve">The agency also has the option for making a risk-based decision to grant an exception following the guidance addressed in </w:t>
      </w:r>
      <w:hyperlink w:anchor="_2.1_–_Preliminary" w:history="1">
        <w:r w:rsidR="001F7E35" w:rsidRPr="003E2015">
          <w:rPr>
            <w:rStyle w:val="Hyperlink"/>
            <w:rFonts w:eastAsia="Times New Roman" w:cs="Arial"/>
            <w:spacing w:val="0"/>
          </w:rPr>
          <w:t>Volume 2</w:t>
        </w:r>
      </w:hyperlink>
      <w:r w:rsidR="001F7E35" w:rsidRPr="00E278BD">
        <w:rPr>
          <w:rFonts w:eastAsia="Times New Roman" w:cs="Arial"/>
          <w:spacing w:val="0"/>
        </w:rPr>
        <w:t xml:space="preserve"> of this Manual.</w:t>
      </w:r>
    </w:p>
    <w:p w14:paraId="756C1323" w14:textId="77777777" w:rsidR="00EA1EA7" w:rsidRPr="00E278BD" w:rsidRDefault="00EA1EA7" w:rsidP="00FB335C">
      <w:pPr>
        <w:widowControl w:val="0"/>
        <w:spacing w:after="0" w:line="240" w:lineRule="auto"/>
        <w:rPr>
          <w:rFonts w:eastAsia="Times New Roman" w:cs="Arial"/>
          <w:spacing w:val="0"/>
        </w:rPr>
      </w:pPr>
    </w:p>
    <w:p w14:paraId="4E270C4B" w14:textId="1BD2AB36" w:rsidR="00EA1EA7" w:rsidRPr="00E278BD" w:rsidRDefault="00EA1EA7" w:rsidP="00B176CC">
      <w:pPr>
        <w:widowControl w:val="0"/>
        <w:spacing w:after="0" w:line="240" w:lineRule="auto"/>
        <w:rPr>
          <w:rFonts w:eastAsia="Times New Roman" w:cs="Arial"/>
          <w:spacing w:val="0"/>
        </w:rPr>
      </w:pPr>
      <w:r w:rsidRPr="00E278BD">
        <w:rPr>
          <w:rFonts w:eastAsia="Times New Roman" w:cs="Arial"/>
          <w:spacing w:val="0"/>
        </w:rPr>
        <w:t xml:space="preserve">In applicant, appointee, and employee cases involving certain types of conduct, the case must be referred to OPM for consideration of a </w:t>
      </w:r>
      <w:r w:rsidR="00BB21FA" w:rsidRPr="00E278BD">
        <w:rPr>
          <w:rFonts w:eastAsia="Times New Roman" w:cs="Arial"/>
          <w:spacing w:val="0"/>
        </w:rPr>
        <w:t>government</w:t>
      </w:r>
      <w:r w:rsidR="00BB21FA">
        <w:rPr>
          <w:rFonts w:eastAsia="Times New Roman" w:cs="Arial"/>
          <w:spacing w:val="0"/>
        </w:rPr>
        <w:t>-</w:t>
      </w:r>
      <w:r w:rsidR="00BB21FA" w:rsidRPr="00E278BD">
        <w:rPr>
          <w:rFonts w:eastAsia="Times New Roman" w:cs="Arial"/>
          <w:spacing w:val="0"/>
        </w:rPr>
        <w:t xml:space="preserve">wide </w:t>
      </w:r>
      <w:r w:rsidRPr="00E278BD">
        <w:rPr>
          <w:rFonts w:eastAsia="Times New Roman" w:cs="Arial"/>
          <w:spacing w:val="0"/>
        </w:rPr>
        <w:t>debarment. To lend objectivity and consistency to the process of determining which types of conduct may form the basis for a government</w:t>
      </w:r>
      <w:r w:rsidR="00BB21FA">
        <w:rPr>
          <w:rFonts w:eastAsia="Times New Roman" w:cs="Arial"/>
          <w:spacing w:val="0"/>
        </w:rPr>
        <w:t>-</w:t>
      </w:r>
      <w:r w:rsidRPr="00E278BD">
        <w:rPr>
          <w:rFonts w:eastAsia="Times New Roman" w:cs="Arial"/>
          <w:spacing w:val="0"/>
        </w:rPr>
        <w:t>wide debarment, rather than an agency specific action, agencies should use the following chart. Note that the presence in one’s background of the issues shown in this chart should not alone form the basis of a decision to refer the case. For example, while drug addiction is shown as an issue in the chart, it may be mitigated by time or evidence of rehabilitation, and therefore determined by the adjudicator to not be actionable. Instead after applying the guidance outlined above to include the application of any pertinent factors, if the adjudicator determines the issue(s) cannot be mitigated, the chart below should be applied to determine if the case should be referred to OPM. For any case that does not fit within this chart but for which the agency believes the conduct may warrant a debarment from all covered positions, the agency may consult with OPM-SuitEA prior to referral.</w:t>
      </w:r>
    </w:p>
    <w:p w14:paraId="3D94D5BC" w14:textId="77777777" w:rsidR="00EA1EA7" w:rsidRPr="00804F31" w:rsidRDefault="00EA1EA7" w:rsidP="00B176CC">
      <w:pPr>
        <w:widowControl w:val="0"/>
        <w:spacing w:after="0" w:line="240" w:lineRule="auto"/>
        <w:rPr>
          <w:rFonts w:ascii="Source Sans Pro" w:eastAsia="Times New Roman" w:hAnsi="Source Sans Pro" w:cs="Arial"/>
          <w:bCs/>
          <w:spacing w:val="0"/>
          <w:sz w:val="20"/>
          <w:szCs w:val="20"/>
        </w:rPr>
      </w:pPr>
    </w:p>
    <w:p w14:paraId="11D86890" w14:textId="77777777" w:rsidR="00EA1EA7" w:rsidRPr="00804F31" w:rsidRDefault="00EA1EA7" w:rsidP="00B176CC">
      <w:pPr>
        <w:widowControl w:val="0"/>
        <w:spacing w:after="0" w:line="240" w:lineRule="auto"/>
        <w:rPr>
          <w:rFonts w:ascii="Source Sans Pro" w:eastAsia="Times New Roman" w:hAnsi="Source Sans Pro" w:cs="Arial"/>
          <w:bCs/>
          <w:spacing w:val="0"/>
          <w:sz w:val="20"/>
          <w:szCs w:val="20"/>
        </w:rPr>
      </w:pPr>
    </w:p>
    <w:p w14:paraId="38F3AF69" w14:textId="2C17DA6F" w:rsidR="00673B4D" w:rsidRDefault="00673B4D" w:rsidP="00303C17">
      <w:pPr>
        <w:pStyle w:val="Heading5"/>
        <w:sectPr w:rsidR="00673B4D" w:rsidSect="00426056">
          <w:pgSz w:w="12240" w:h="15840"/>
          <w:pgMar w:top="1440" w:right="1440" w:bottom="1440" w:left="1440" w:header="720" w:footer="720" w:gutter="0"/>
          <w:cols w:space="720"/>
          <w:docGrid w:linePitch="360"/>
        </w:sectPr>
      </w:pPr>
    </w:p>
    <w:p w14:paraId="27B8B073" w14:textId="77777777" w:rsidR="00BF6470" w:rsidRDefault="00410C46" w:rsidP="00303C17">
      <w:pPr>
        <w:pStyle w:val="Heading5"/>
      </w:pPr>
      <w:r>
        <w:lastRenderedPageBreak/>
        <w:t>C</w:t>
      </w:r>
      <w:r w:rsidR="00EA1EA7" w:rsidRPr="00EA1EA7">
        <w:t xml:space="preserve">ASES REQUIRING REFERRAL TO OPM-SuitEA </w:t>
      </w:r>
    </w:p>
    <w:p w14:paraId="7A1112EC" w14:textId="5662A7C6" w:rsidR="00D43B0F" w:rsidRDefault="00D43B0F" w:rsidP="00303C17">
      <w:pPr>
        <w:pStyle w:val="Heading5"/>
      </w:pPr>
      <w:r>
        <w:t>T</w:t>
      </w:r>
      <w:r w:rsidR="00522AFD">
        <w:t>able</w:t>
      </w:r>
      <w:r>
        <w:t xml:space="preserve"> </w:t>
      </w:r>
      <w:r w:rsidR="00083162">
        <w:t>2</w:t>
      </w:r>
      <w:r w:rsidR="009E15FD">
        <w:t xml:space="preserve"> V</w:t>
      </w:r>
      <w:r>
        <w:t>3</w:t>
      </w:r>
    </w:p>
    <w:p w14:paraId="0AEE970E" w14:textId="3F60476A" w:rsidR="000D5ECE" w:rsidRPr="000D5ECE" w:rsidRDefault="00887921" w:rsidP="000D5ECE">
      <w:r>
        <w:rPr>
          <w:noProof/>
        </w:rPr>
        <w:drawing>
          <wp:inline distT="0" distB="0" distL="0" distR="0" wp14:anchorId="6BA08DDD" wp14:editId="2F434FFD">
            <wp:extent cx="8524875" cy="4610100"/>
            <wp:effectExtent l="0" t="0" r="0" b="0"/>
            <wp:docPr id="919384154" name="Picture 4" descr="Chart showing examples of actionable issues to refer to OPM.  Table shows examples of single issues, two or more issues, or three or more issues that may requ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384154" name="Picture 4" descr="Chart showing examples of actionable issues to refer to OPM.  Table shows examples of single issues, two or more issues, or three or more issues that may require."/>
                    <pic:cNvPicPr/>
                  </pic:nvPicPr>
                  <pic:blipFill>
                    <a:blip r:embed="rId24">
                      <a:extLst>
                        <a:ext uri="{28A0092B-C50C-407E-A947-70E740481C1C}">
                          <a14:useLocalDpi xmlns:a14="http://schemas.microsoft.com/office/drawing/2010/main" val="0"/>
                        </a:ext>
                      </a:extLst>
                    </a:blip>
                    <a:stretch>
                      <a:fillRect/>
                    </a:stretch>
                  </pic:blipFill>
                  <pic:spPr>
                    <a:xfrm>
                      <a:off x="0" y="0"/>
                      <a:ext cx="8525320" cy="4610341"/>
                    </a:xfrm>
                    <a:prstGeom prst="rect">
                      <a:avLst/>
                    </a:prstGeom>
                  </pic:spPr>
                </pic:pic>
              </a:graphicData>
            </a:graphic>
          </wp:inline>
        </w:drawing>
      </w:r>
    </w:p>
    <w:p w14:paraId="09D7611C" w14:textId="77A28318" w:rsidR="00887921" w:rsidRPr="00EE480A" w:rsidRDefault="00887921" w:rsidP="00887921">
      <w:pPr>
        <w:pStyle w:val="FootnoteText"/>
        <w:rPr>
          <w:rFonts w:ascii="Source Sans Pro" w:hAnsi="Source Sans Pro"/>
        </w:rPr>
      </w:pPr>
      <w:r>
        <w:rPr>
          <w:rStyle w:val="FootnoteReference"/>
          <w:rFonts w:ascii="Source Sans Pro" w:hAnsi="Source Sans Pro"/>
        </w:rPr>
        <w:t>^</w:t>
      </w:r>
      <w:r w:rsidRPr="00EE480A">
        <w:rPr>
          <w:rFonts w:ascii="Source Sans Pro" w:hAnsi="Source Sans Pro"/>
        </w:rPr>
        <w:t xml:space="preserve"> Referrals do not need to be based upon two or more of the same issue. For example, a case involving an unmitigated Grand Theft and an Assault should be referred.</w:t>
      </w:r>
    </w:p>
    <w:p w14:paraId="26B532FC" w14:textId="0E7482CF" w:rsidR="00887921" w:rsidRPr="00EE480A" w:rsidRDefault="00887921" w:rsidP="00887921">
      <w:pPr>
        <w:pStyle w:val="Footer"/>
        <w:rPr>
          <w:sz w:val="20"/>
          <w:szCs w:val="20"/>
        </w:rPr>
      </w:pPr>
      <w:r>
        <w:rPr>
          <w:rStyle w:val="FootnoteReference"/>
          <w:sz w:val="20"/>
          <w:szCs w:val="20"/>
        </w:rPr>
        <w:t>*</w:t>
      </w:r>
      <w:r w:rsidRPr="00EE480A">
        <w:rPr>
          <w:sz w:val="20"/>
          <w:szCs w:val="20"/>
        </w:rPr>
        <w:t xml:space="preserve"> Referrals do not need to be based upon three or more of the same issue. For example, a case involving an unmitigated Shoplifting and two Driving Under the Influence should be referred.</w:t>
      </w:r>
    </w:p>
    <w:p w14:paraId="6DE5E841" w14:textId="57AEBAE4" w:rsidR="006736CA" w:rsidRDefault="006736CA">
      <w:pPr>
        <w:spacing w:after="160" w:line="259" w:lineRule="auto"/>
        <w:rPr>
          <w:rStyle w:val="normaltextrun"/>
          <w:rFonts w:ascii="Source Sans Pro" w:eastAsiaTheme="majorEastAsia" w:hAnsi="Source Sans Pro" w:cstheme="majorBidi"/>
          <w:b/>
          <w:color w:val="093453"/>
          <w:sz w:val="36"/>
          <w:szCs w:val="26"/>
        </w:rPr>
      </w:pPr>
      <w:r>
        <w:rPr>
          <w:rStyle w:val="normaltextrun"/>
        </w:rPr>
        <w:br w:type="page"/>
      </w:r>
      <w:r w:rsidR="00887921">
        <w:rPr>
          <w:rFonts w:ascii="Source Sans Pro" w:eastAsiaTheme="majorEastAsia" w:hAnsi="Source Sans Pro" w:cstheme="majorBidi"/>
          <w:b/>
          <w:noProof/>
          <w:color w:val="093453"/>
          <w:sz w:val="36"/>
          <w:szCs w:val="26"/>
        </w:rPr>
        <w:lastRenderedPageBreak/>
        <w:drawing>
          <wp:inline distT="0" distB="0" distL="0" distR="0" wp14:anchorId="65449EE8" wp14:editId="2C003FDA">
            <wp:extent cx="8639175" cy="2381250"/>
            <wp:effectExtent l="0" t="0" r="9525" b="0"/>
            <wp:docPr id="684253664" name="Picture 5" descr="Chart showing examples of actionable issues to refer to OPM.  Table shows examples of single issues, two or more issues, or three or more issues that may requ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253664" name="Picture 5" descr="Chart showing examples of actionable issues to refer to OPM.  Table shows examples of single issues, two or more issues, or three or more issues that may require."/>
                    <pic:cNvPicPr/>
                  </pic:nvPicPr>
                  <pic:blipFill>
                    <a:blip r:embed="rId25">
                      <a:extLst>
                        <a:ext uri="{28A0092B-C50C-407E-A947-70E740481C1C}">
                          <a14:useLocalDpi xmlns:a14="http://schemas.microsoft.com/office/drawing/2010/main" val="0"/>
                        </a:ext>
                      </a:extLst>
                    </a:blip>
                    <a:stretch>
                      <a:fillRect/>
                    </a:stretch>
                  </pic:blipFill>
                  <pic:spPr>
                    <a:xfrm>
                      <a:off x="0" y="0"/>
                      <a:ext cx="8639621" cy="2381373"/>
                    </a:xfrm>
                    <a:prstGeom prst="rect">
                      <a:avLst/>
                    </a:prstGeom>
                  </pic:spPr>
                </pic:pic>
              </a:graphicData>
            </a:graphic>
          </wp:inline>
        </w:drawing>
      </w:r>
    </w:p>
    <w:p w14:paraId="2507D129" w14:textId="54003AAE" w:rsidR="00887921" w:rsidRPr="00EE480A" w:rsidRDefault="00887921" w:rsidP="00887921">
      <w:pPr>
        <w:pStyle w:val="FootnoteText"/>
        <w:rPr>
          <w:rFonts w:ascii="Source Sans Pro" w:hAnsi="Source Sans Pro"/>
        </w:rPr>
      </w:pPr>
      <w:r>
        <w:rPr>
          <w:rStyle w:val="FootnoteReference"/>
          <w:rFonts w:ascii="Source Sans Pro" w:hAnsi="Source Sans Pro"/>
        </w:rPr>
        <w:t>*</w:t>
      </w:r>
      <w:r w:rsidRPr="00EE480A">
        <w:rPr>
          <w:rFonts w:ascii="Source Sans Pro" w:hAnsi="Source Sans Pro"/>
        </w:rPr>
        <w:t xml:space="preserve"> Referrals do not need to be based upon two or more of the same issue. For example, a case involving an unmitigated Grand Theft and an Assault should be referred.</w:t>
      </w:r>
    </w:p>
    <w:p w14:paraId="35C475A9" w14:textId="3DD5964E" w:rsidR="006736CA" w:rsidRDefault="00887921" w:rsidP="00E94524">
      <w:pPr>
        <w:pStyle w:val="Footer"/>
        <w:rPr>
          <w:sz w:val="20"/>
          <w:szCs w:val="20"/>
        </w:rPr>
      </w:pPr>
      <w:r>
        <w:rPr>
          <w:rStyle w:val="FootnoteReference"/>
          <w:sz w:val="20"/>
          <w:szCs w:val="20"/>
        </w:rPr>
        <w:t>*</w:t>
      </w:r>
      <w:r w:rsidRPr="00EE480A">
        <w:rPr>
          <w:sz w:val="20"/>
          <w:szCs w:val="20"/>
        </w:rPr>
        <w:t xml:space="preserve"> Referrals do not need to be based upon three or more of the same issue. For example, a case involving an unmitigated Shoplifting and two Driving Under the Influence should be referred.</w:t>
      </w:r>
    </w:p>
    <w:p w14:paraId="3FA803F9" w14:textId="77777777" w:rsidR="00E94524" w:rsidRDefault="00E94524" w:rsidP="00E94524">
      <w:pPr>
        <w:pStyle w:val="Footer"/>
        <w:rPr>
          <w:rStyle w:val="normaltextrun"/>
          <w:sz w:val="20"/>
          <w:szCs w:val="20"/>
        </w:rPr>
      </w:pPr>
    </w:p>
    <w:p w14:paraId="5AB20CBD" w14:textId="77777777" w:rsidR="00E94524" w:rsidRPr="008F10C7" w:rsidRDefault="00E94524" w:rsidP="00E94524">
      <w:pPr>
        <w:pStyle w:val="Footer"/>
        <w:rPr>
          <w:rStyle w:val="normaltextrun"/>
          <w:b/>
          <w:bCs/>
          <w:sz w:val="20"/>
          <w:szCs w:val="20"/>
        </w:rPr>
      </w:pPr>
    </w:p>
    <w:p w14:paraId="76BA02A6" w14:textId="5D91BC46" w:rsidR="00E94524" w:rsidRPr="008F10C7" w:rsidRDefault="00E94524" w:rsidP="008F10C7">
      <w:pPr>
        <w:pStyle w:val="Heading3"/>
        <w:rPr>
          <w:rFonts w:eastAsiaTheme="minorHAnsi" w:cstheme="minorBidi"/>
        </w:rPr>
      </w:pPr>
      <w:bookmarkStart w:id="108" w:name="_Toc187924157"/>
      <w:r w:rsidRPr="008F10C7">
        <w:rPr>
          <w:rStyle w:val="normaltextrun"/>
          <w:bCs/>
          <w:color w:val="808080" w:themeColor="background1" w:themeShade="80"/>
          <w:szCs w:val="32"/>
        </w:rPr>
        <w:t>3.8.</w:t>
      </w:r>
      <w:r w:rsidR="008D1968" w:rsidRPr="008F10C7">
        <w:rPr>
          <w:rStyle w:val="normaltextrun"/>
          <w:bCs/>
          <w:color w:val="808080" w:themeColor="background1" w:themeShade="80"/>
          <w:szCs w:val="32"/>
        </w:rPr>
        <w:t>2</w:t>
      </w:r>
      <w:r w:rsidRPr="008F10C7">
        <w:rPr>
          <w:rStyle w:val="normaltextrun"/>
          <w:bCs/>
          <w:color w:val="808080" w:themeColor="background1" w:themeShade="80"/>
          <w:szCs w:val="32"/>
        </w:rPr>
        <w:t xml:space="preserve"> – </w:t>
      </w:r>
      <w:r w:rsidR="008D1968" w:rsidRPr="008F10C7">
        <w:rPr>
          <w:rStyle w:val="normaltextrun"/>
          <w:bCs/>
          <w:color w:val="808080" w:themeColor="background1" w:themeShade="80"/>
          <w:szCs w:val="32"/>
        </w:rPr>
        <w:t>Making Referrals to OPM-SuitEA</w:t>
      </w:r>
      <w:bookmarkEnd w:id="108"/>
    </w:p>
    <w:p w14:paraId="5904817B" w14:textId="77777777" w:rsidR="00E94524" w:rsidRPr="001B3EAC" w:rsidRDefault="00E94524" w:rsidP="00E94524">
      <w:pPr>
        <w:widowControl w:val="0"/>
        <w:spacing w:after="0" w:line="240" w:lineRule="auto"/>
        <w:rPr>
          <w:rFonts w:eastAsia="Times New Roman" w:cs="Arial"/>
          <w:spacing w:val="0"/>
        </w:rPr>
      </w:pPr>
      <w:r w:rsidRPr="001B3EAC">
        <w:rPr>
          <w:rFonts w:eastAsia="Times New Roman" w:cs="Arial"/>
          <w:spacing w:val="0"/>
        </w:rPr>
        <w:t xml:space="preserve">Agencies may refer matters involving uninvestigated applicants or cases in which the background investigation has been completed. Guidance for making a referral can be found on SuitEA’s website: </w:t>
      </w:r>
      <w:hyperlink r:id="rId26" w:anchor="url=Referral-Guidelines" w:history="1">
        <w:r w:rsidRPr="001B3EAC">
          <w:rPr>
            <w:rFonts w:eastAsia="Times New Roman" w:cs="Arial"/>
            <w:color w:val="0000FF"/>
            <w:spacing w:val="0"/>
            <w:u w:val="single"/>
          </w:rPr>
          <w:t>https://www.opm.gov/suitability/suitability-executive-agent/suitability-adjudications/#url=Referral-Guidelines</w:t>
        </w:r>
      </w:hyperlink>
      <w:r w:rsidRPr="001B3EAC">
        <w:rPr>
          <w:rFonts w:eastAsia="Times New Roman" w:cs="Arial"/>
          <w:spacing w:val="0"/>
        </w:rPr>
        <w:t>.</w:t>
      </w:r>
    </w:p>
    <w:p w14:paraId="1CE82A2C" w14:textId="77777777" w:rsidR="00E94524" w:rsidRPr="001B3EAC" w:rsidRDefault="00E94524" w:rsidP="00E94524">
      <w:pPr>
        <w:spacing w:after="0" w:line="240" w:lineRule="auto"/>
        <w:rPr>
          <w:rFonts w:eastAsia="Times New Roman" w:cs="Times New Roman"/>
          <w:b/>
          <w:spacing w:val="0"/>
        </w:rPr>
      </w:pPr>
    </w:p>
    <w:p w14:paraId="11A68F56" w14:textId="77777777" w:rsidR="00E94524" w:rsidRPr="001B3EAC" w:rsidRDefault="00E94524" w:rsidP="00E94524">
      <w:pPr>
        <w:spacing w:after="0" w:line="240" w:lineRule="auto"/>
        <w:rPr>
          <w:rFonts w:eastAsia="Times New Roman" w:cs="Times New Roman"/>
          <w:spacing w:val="0"/>
        </w:rPr>
      </w:pPr>
      <w:r w:rsidRPr="001B3EAC">
        <w:rPr>
          <w:rFonts w:eastAsia="Times New Roman" w:cs="Times New Roman"/>
          <w:spacing w:val="0"/>
        </w:rPr>
        <w:t>SuitEA will review the referral and notify the agency as to whether the case will be maintained.</w:t>
      </w:r>
    </w:p>
    <w:p w14:paraId="2D127EB0" w14:textId="77777777" w:rsidR="00887921" w:rsidRDefault="00887921" w:rsidP="00887921"/>
    <w:p w14:paraId="570C6B3B" w14:textId="77777777" w:rsidR="00887921" w:rsidRDefault="00887921" w:rsidP="00887921"/>
    <w:p w14:paraId="280BEF7D" w14:textId="77777777" w:rsidR="00887921" w:rsidRPr="00887921" w:rsidRDefault="00887921" w:rsidP="00887921">
      <w:pPr>
        <w:sectPr w:rsidR="00887921" w:rsidRPr="00887921" w:rsidSect="00E30F19">
          <w:pgSz w:w="15840" w:h="12240" w:orient="landscape"/>
          <w:pgMar w:top="1440" w:right="1440" w:bottom="1440" w:left="1440" w:header="720" w:footer="720" w:gutter="0"/>
          <w:cols w:space="720"/>
          <w:docGrid w:linePitch="360"/>
        </w:sectPr>
      </w:pPr>
    </w:p>
    <w:p w14:paraId="03900057" w14:textId="26339CF1" w:rsidR="003B3B49" w:rsidRPr="00303C17" w:rsidRDefault="00C83727" w:rsidP="00303C17">
      <w:pPr>
        <w:pStyle w:val="Heading2"/>
        <w:rPr>
          <w:rStyle w:val="normaltextrun"/>
        </w:rPr>
      </w:pPr>
      <w:bookmarkStart w:id="109" w:name="_Toc187924158"/>
      <w:r w:rsidRPr="36A80A07">
        <w:rPr>
          <w:rStyle w:val="normaltextrun"/>
        </w:rPr>
        <w:lastRenderedPageBreak/>
        <w:t>3.9</w:t>
      </w:r>
      <w:r w:rsidR="0038660C" w:rsidRPr="36A80A07">
        <w:rPr>
          <w:rStyle w:val="normaltextrun"/>
        </w:rPr>
        <w:t xml:space="preserve"> </w:t>
      </w:r>
      <w:r w:rsidR="00531854" w:rsidRPr="36A80A07">
        <w:rPr>
          <w:rStyle w:val="normaltextrun"/>
        </w:rPr>
        <w:t>– Granting Personal Identity Verification Credentials</w:t>
      </w:r>
      <w:r w:rsidR="003B3B49" w:rsidRPr="36A80A07">
        <w:rPr>
          <w:rStyle w:val="normaltextrun"/>
        </w:rPr>
        <w:t xml:space="preserve"> from a Favorable Suitability/Fitness Determination</w:t>
      </w:r>
      <w:bookmarkEnd w:id="109"/>
    </w:p>
    <w:p w14:paraId="381DE6E1" w14:textId="13D72BC1" w:rsidR="00531854" w:rsidRPr="00804F31" w:rsidRDefault="003B3B49" w:rsidP="00804F31">
      <w:pPr>
        <w:pStyle w:val="NormalAfterlist"/>
        <w:rPr>
          <w:rFonts w:eastAsia="Source Sans Pro" w:cs="Source Sans Pro"/>
        </w:rPr>
      </w:pPr>
      <w:r w:rsidRPr="00804F31">
        <w:rPr>
          <w:rStyle w:val="normaltextrun"/>
          <w:rFonts w:cs="Segoe UI"/>
        </w:rPr>
        <w:t xml:space="preserve">As prescribed in the Common Principles, individuals adjudicated favorably for suitability or fitness are eligible for a personal identity verification (PIV) credential without a separate adjudication. If using the suitability or fitness criteria to also make a PIV credentialing eligibility determination, an agency must also ensure they have verified the individual’s identity. </w:t>
      </w:r>
      <w:r w:rsidR="00E871B4" w:rsidRPr="00804F31">
        <w:rPr>
          <w:rStyle w:val="normaltextrun"/>
          <w:rFonts w:cs="Segoe UI"/>
        </w:rPr>
        <w:t>Agencies should refer to OPM’s Final Credentialing Standards for Issuing Personal Identify Verification Cards under HSPD-12, July 2008, and Credentialing Standards Procedures for Issuing Personal Identity Verification Cards under HSPD-12 and New Requirement for Suspension or Revocation of Eligibility for Personal Identity Verification Credentials for identity verification requirements for determining PIV eligibility.</w:t>
      </w:r>
    </w:p>
    <w:p w14:paraId="7AFE33C1" w14:textId="77777777" w:rsidR="008338E3" w:rsidRPr="001B3EAC" w:rsidRDefault="008338E3" w:rsidP="00B176CC">
      <w:pPr>
        <w:widowControl w:val="0"/>
        <w:spacing w:after="0" w:line="240" w:lineRule="auto"/>
        <w:rPr>
          <w:rFonts w:eastAsia="Times New Roman" w:cs="Arial"/>
          <w:b/>
          <w:spacing w:val="0"/>
          <w:sz w:val="23"/>
          <w:szCs w:val="20"/>
        </w:rPr>
      </w:pPr>
    </w:p>
    <w:p w14:paraId="70DAABD9" w14:textId="74B0B5A3" w:rsidR="00EA1EA7" w:rsidRDefault="00EA1EA7" w:rsidP="00B176CC">
      <w:pPr>
        <w:spacing w:after="0" w:line="259" w:lineRule="auto"/>
      </w:pPr>
      <w:r>
        <w:br w:type="page"/>
      </w:r>
    </w:p>
    <w:p w14:paraId="44B7C08B" w14:textId="71506E8E" w:rsidR="000B28C2" w:rsidRPr="00804F31" w:rsidRDefault="000B28C2" w:rsidP="005B6DE9">
      <w:pPr>
        <w:pStyle w:val="H1"/>
        <w:rPr>
          <w:rFonts w:cs="Arial"/>
        </w:rPr>
      </w:pPr>
      <w:bookmarkStart w:id="110" w:name="_Toc187052979"/>
      <w:bookmarkStart w:id="111" w:name="_Toc187924159"/>
      <w:r w:rsidRPr="00804F31">
        <w:lastRenderedPageBreak/>
        <w:t xml:space="preserve">Volume </w:t>
      </w:r>
      <w:r w:rsidR="00804F31">
        <w:t>4</w:t>
      </w:r>
      <w:r w:rsidRPr="00804F31">
        <w:t>:</w:t>
      </w:r>
      <w:r w:rsidRPr="00804F31">
        <w:rPr>
          <w:spacing w:val="-15"/>
        </w:rPr>
        <w:t xml:space="preserve"> </w:t>
      </w:r>
      <w:r w:rsidRPr="00804F31">
        <w:rPr>
          <w:spacing w:val="-1"/>
        </w:rPr>
        <w:t xml:space="preserve"> </w:t>
      </w:r>
      <w:r w:rsidR="00804F31">
        <w:rPr>
          <w:rFonts w:cs="Arial"/>
        </w:rPr>
        <w:t>Screening</w:t>
      </w:r>
      <w:bookmarkEnd w:id="110"/>
      <w:bookmarkEnd w:id="111"/>
      <w:r w:rsidRPr="00804F31">
        <w:rPr>
          <w:rFonts w:cs="Arial"/>
        </w:rPr>
        <w:t xml:space="preserve"> </w:t>
      </w:r>
    </w:p>
    <w:p w14:paraId="50BFE6FA" w14:textId="77777777" w:rsidR="000B28C2" w:rsidRPr="00546742" w:rsidRDefault="000B28C2" w:rsidP="000B28C2">
      <w:pPr>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Sans Serif Collection"/>
          <w:spacing w:val="0"/>
          <w:sz w:val="30"/>
          <w:szCs w:val="30"/>
        </w:rPr>
      </w:pPr>
    </w:p>
    <w:p w14:paraId="6D0CEA1F" w14:textId="77777777" w:rsidR="000B28C2" w:rsidRPr="00804F31" w:rsidRDefault="000B28C2" w:rsidP="005F1773">
      <w:pPr>
        <w:widowControl w:val="0"/>
        <w:spacing w:after="0" w:line="240" w:lineRule="auto"/>
        <w:rPr>
          <w:rFonts w:ascii="Source Sans Pro" w:eastAsia="Arial Narrow" w:hAnsi="Source Sans Pro" w:cs="Arial Narrow"/>
          <w:b/>
          <w:bCs/>
          <w:spacing w:val="0"/>
          <w:sz w:val="30"/>
          <w:szCs w:val="30"/>
        </w:rPr>
      </w:pPr>
      <w:r w:rsidRPr="00804F31">
        <w:rPr>
          <w:rFonts w:ascii="Source Sans Pro" w:eastAsia="Arial Narrow" w:hAnsi="Source Sans Pro" w:cs="Arial Narrow"/>
          <w:b/>
          <w:bCs/>
          <w:spacing w:val="0"/>
          <w:sz w:val="30"/>
          <w:szCs w:val="30"/>
        </w:rPr>
        <w:t>Change Record</w:t>
      </w:r>
    </w:p>
    <w:p w14:paraId="237E9748" w14:textId="77777777" w:rsidR="000B28C2" w:rsidRPr="00546742" w:rsidRDefault="000B28C2" w:rsidP="000B28C2">
      <w:pPr>
        <w:widowControl w:val="0"/>
        <w:spacing w:before="5" w:after="0" w:line="240" w:lineRule="auto"/>
        <w:rPr>
          <w:rFonts w:eastAsia="Arial Narrow" w:cs="Arial Narrow"/>
          <w:spacing w:val="0"/>
          <w:sz w:val="30"/>
          <w:szCs w:val="30"/>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1717"/>
        <w:gridCol w:w="5947"/>
      </w:tblGrid>
      <w:tr w:rsidR="000B28C2" w:rsidRPr="00804F31" w14:paraId="4E12806D" w14:textId="77777777" w:rsidTr="00F668B0">
        <w:tc>
          <w:tcPr>
            <w:tcW w:w="1781" w:type="dxa"/>
            <w:shd w:val="clear" w:color="auto" w:fill="auto"/>
          </w:tcPr>
          <w:p w14:paraId="4A7E6DE9" w14:textId="77777777" w:rsidR="000B28C2" w:rsidRPr="00804F31" w:rsidRDefault="000B28C2">
            <w:pPr>
              <w:widowControl w:val="0"/>
              <w:spacing w:before="5" w:after="0" w:line="240" w:lineRule="auto"/>
              <w:rPr>
                <w:rFonts w:ascii="Source Sans Pro" w:eastAsia="Arial Narrow" w:hAnsi="Source Sans Pro" w:cs="Arial Narrow"/>
                <w:b/>
                <w:bCs/>
                <w:spacing w:val="0"/>
                <w:sz w:val="30"/>
                <w:szCs w:val="30"/>
              </w:rPr>
            </w:pPr>
            <w:r w:rsidRPr="00804F31">
              <w:rPr>
                <w:rFonts w:ascii="Source Sans Pro" w:eastAsia="Arial Narrow" w:hAnsi="Source Sans Pro" w:cs="Arial Narrow"/>
                <w:b/>
                <w:bCs/>
                <w:spacing w:val="0"/>
                <w:sz w:val="30"/>
                <w:szCs w:val="30"/>
              </w:rPr>
              <w:t>Date</w:t>
            </w:r>
          </w:p>
        </w:tc>
        <w:tc>
          <w:tcPr>
            <w:tcW w:w="1717" w:type="dxa"/>
            <w:shd w:val="clear" w:color="auto" w:fill="auto"/>
          </w:tcPr>
          <w:p w14:paraId="6F4B6BCB" w14:textId="264D2B75" w:rsidR="000B28C2" w:rsidRPr="00804F31" w:rsidRDefault="000B28C2">
            <w:pPr>
              <w:widowControl w:val="0"/>
              <w:spacing w:before="5" w:after="0" w:line="240" w:lineRule="auto"/>
              <w:rPr>
                <w:rFonts w:ascii="Source Sans Pro" w:eastAsia="Arial Narrow" w:hAnsi="Source Sans Pro" w:cs="Arial Narrow"/>
                <w:b/>
                <w:bCs/>
                <w:spacing w:val="0"/>
                <w:sz w:val="30"/>
                <w:szCs w:val="30"/>
              </w:rPr>
            </w:pPr>
            <w:r w:rsidRPr="00804F31">
              <w:rPr>
                <w:rFonts w:ascii="Source Sans Pro" w:eastAsia="Arial Narrow" w:hAnsi="Source Sans Pro" w:cs="Arial Narrow"/>
                <w:b/>
                <w:bCs/>
                <w:spacing w:val="0"/>
                <w:sz w:val="30"/>
                <w:szCs w:val="30"/>
              </w:rPr>
              <w:t>Page</w:t>
            </w:r>
            <w:r w:rsidR="006B4879">
              <w:rPr>
                <w:rFonts w:ascii="Source Sans Pro" w:eastAsia="Arial Narrow" w:hAnsi="Source Sans Pro" w:cs="Arial Narrow"/>
                <w:b/>
                <w:bCs/>
                <w:spacing w:val="0"/>
                <w:sz w:val="30"/>
                <w:szCs w:val="30"/>
              </w:rPr>
              <w:t>(s)</w:t>
            </w:r>
            <w:r w:rsidRPr="00804F31">
              <w:rPr>
                <w:rFonts w:ascii="Source Sans Pro" w:eastAsia="Arial Narrow" w:hAnsi="Source Sans Pro" w:cs="Arial Narrow"/>
                <w:b/>
                <w:bCs/>
                <w:spacing w:val="0"/>
                <w:sz w:val="30"/>
                <w:szCs w:val="30"/>
              </w:rPr>
              <w:t xml:space="preserve"> Affected</w:t>
            </w:r>
          </w:p>
        </w:tc>
        <w:tc>
          <w:tcPr>
            <w:tcW w:w="5947" w:type="dxa"/>
            <w:shd w:val="clear" w:color="auto" w:fill="auto"/>
          </w:tcPr>
          <w:p w14:paraId="3B733705" w14:textId="5119D6AE" w:rsidR="000B28C2" w:rsidRPr="00804F31" w:rsidRDefault="000B28C2">
            <w:pPr>
              <w:widowControl w:val="0"/>
              <w:spacing w:before="5" w:after="0" w:line="240" w:lineRule="auto"/>
              <w:rPr>
                <w:rFonts w:ascii="Source Sans Pro" w:eastAsia="Arial Narrow" w:hAnsi="Source Sans Pro" w:cs="Arial Narrow"/>
                <w:b/>
                <w:bCs/>
                <w:spacing w:val="0"/>
                <w:sz w:val="30"/>
                <w:szCs w:val="30"/>
              </w:rPr>
            </w:pPr>
            <w:r w:rsidRPr="00804F31">
              <w:rPr>
                <w:rFonts w:ascii="Source Sans Pro" w:eastAsia="Arial Narrow" w:hAnsi="Source Sans Pro" w:cs="Arial Narrow"/>
                <w:b/>
                <w:bCs/>
                <w:spacing w:val="0"/>
                <w:sz w:val="30"/>
                <w:szCs w:val="30"/>
              </w:rPr>
              <w:t>Description of Revision</w:t>
            </w:r>
            <w:r w:rsidR="006B4879">
              <w:rPr>
                <w:rFonts w:ascii="Source Sans Pro" w:eastAsia="Arial Narrow" w:hAnsi="Source Sans Pro" w:cs="Arial Narrow"/>
                <w:b/>
                <w:bCs/>
                <w:spacing w:val="0"/>
                <w:sz w:val="30"/>
                <w:szCs w:val="30"/>
              </w:rPr>
              <w:t>(s)</w:t>
            </w:r>
          </w:p>
        </w:tc>
      </w:tr>
      <w:tr w:rsidR="000B28C2" w:rsidRPr="00B57F94" w14:paraId="02AC1E3B" w14:textId="77777777" w:rsidTr="00F668B0">
        <w:tc>
          <w:tcPr>
            <w:tcW w:w="1781" w:type="dxa"/>
            <w:shd w:val="clear" w:color="auto" w:fill="auto"/>
          </w:tcPr>
          <w:p w14:paraId="36D5A59F" w14:textId="77777777" w:rsidR="000B28C2" w:rsidRPr="00F668B0" w:rsidRDefault="000B28C2">
            <w:pPr>
              <w:widowControl w:val="0"/>
              <w:spacing w:before="5" w:after="0" w:line="240" w:lineRule="auto"/>
              <w:rPr>
                <w:rFonts w:eastAsia="Arial Narrow" w:cs="Arial Narrow"/>
                <w:b/>
                <w:spacing w:val="0"/>
              </w:rPr>
            </w:pPr>
          </w:p>
        </w:tc>
        <w:tc>
          <w:tcPr>
            <w:tcW w:w="1717" w:type="dxa"/>
            <w:shd w:val="clear" w:color="auto" w:fill="auto"/>
          </w:tcPr>
          <w:p w14:paraId="3D3F9E4D" w14:textId="77777777" w:rsidR="000B28C2" w:rsidRPr="00F668B0" w:rsidRDefault="000B28C2">
            <w:pPr>
              <w:widowControl w:val="0"/>
              <w:spacing w:before="5" w:after="0" w:line="240" w:lineRule="auto"/>
              <w:rPr>
                <w:rFonts w:eastAsia="Arial Narrow" w:cs="Arial Narrow"/>
                <w:b/>
                <w:spacing w:val="0"/>
              </w:rPr>
            </w:pPr>
          </w:p>
        </w:tc>
        <w:tc>
          <w:tcPr>
            <w:tcW w:w="5947" w:type="dxa"/>
            <w:shd w:val="clear" w:color="auto" w:fill="auto"/>
          </w:tcPr>
          <w:p w14:paraId="4CA8CC22" w14:textId="77777777" w:rsidR="000B28C2" w:rsidRPr="00F668B0" w:rsidRDefault="000B28C2">
            <w:pPr>
              <w:widowControl w:val="0"/>
              <w:spacing w:before="5" w:after="0" w:line="240" w:lineRule="auto"/>
              <w:rPr>
                <w:rFonts w:eastAsia="Arial Narrow" w:cs="Arial Narrow"/>
                <w:b/>
                <w:spacing w:val="0"/>
              </w:rPr>
            </w:pPr>
          </w:p>
        </w:tc>
      </w:tr>
      <w:tr w:rsidR="000B28C2" w:rsidRPr="00B57F94" w14:paraId="0D081CF8" w14:textId="77777777" w:rsidTr="00F668B0">
        <w:tc>
          <w:tcPr>
            <w:tcW w:w="1781" w:type="dxa"/>
            <w:shd w:val="clear" w:color="auto" w:fill="auto"/>
          </w:tcPr>
          <w:p w14:paraId="201063CD" w14:textId="77777777" w:rsidR="000B28C2" w:rsidRPr="00F668B0" w:rsidRDefault="000B28C2">
            <w:pPr>
              <w:widowControl w:val="0"/>
              <w:spacing w:before="5" w:after="0" w:line="240" w:lineRule="auto"/>
              <w:rPr>
                <w:rFonts w:eastAsia="Arial Narrow" w:cs="Arial Narrow"/>
                <w:b/>
                <w:spacing w:val="0"/>
              </w:rPr>
            </w:pPr>
          </w:p>
        </w:tc>
        <w:tc>
          <w:tcPr>
            <w:tcW w:w="1717" w:type="dxa"/>
            <w:shd w:val="clear" w:color="auto" w:fill="auto"/>
          </w:tcPr>
          <w:p w14:paraId="2FD162F4" w14:textId="77777777" w:rsidR="000B28C2" w:rsidRPr="00F668B0" w:rsidRDefault="000B28C2">
            <w:pPr>
              <w:widowControl w:val="0"/>
              <w:spacing w:before="5" w:after="0" w:line="240" w:lineRule="auto"/>
              <w:rPr>
                <w:rFonts w:eastAsia="Arial Narrow" w:cs="Arial Narrow"/>
                <w:b/>
                <w:spacing w:val="0"/>
              </w:rPr>
            </w:pPr>
          </w:p>
        </w:tc>
        <w:tc>
          <w:tcPr>
            <w:tcW w:w="5947" w:type="dxa"/>
            <w:shd w:val="clear" w:color="auto" w:fill="auto"/>
          </w:tcPr>
          <w:p w14:paraId="0ECDECF5" w14:textId="77777777" w:rsidR="000B28C2" w:rsidRPr="00F668B0" w:rsidRDefault="000B28C2">
            <w:pPr>
              <w:widowControl w:val="0"/>
              <w:spacing w:before="5" w:after="0" w:line="240" w:lineRule="auto"/>
              <w:rPr>
                <w:rFonts w:eastAsia="Arial Narrow" w:cs="Arial Narrow"/>
                <w:b/>
                <w:spacing w:val="0"/>
              </w:rPr>
            </w:pPr>
          </w:p>
        </w:tc>
      </w:tr>
      <w:tr w:rsidR="000B28C2" w:rsidRPr="00B57F94" w14:paraId="568C5E54" w14:textId="77777777" w:rsidTr="00F668B0">
        <w:tc>
          <w:tcPr>
            <w:tcW w:w="1781" w:type="dxa"/>
            <w:shd w:val="clear" w:color="auto" w:fill="auto"/>
          </w:tcPr>
          <w:p w14:paraId="0B4BFEC9" w14:textId="77777777" w:rsidR="000B28C2" w:rsidRPr="00F668B0" w:rsidRDefault="000B28C2">
            <w:pPr>
              <w:widowControl w:val="0"/>
              <w:spacing w:before="5" w:after="0" w:line="240" w:lineRule="auto"/>
              <w:rPr>
                <w:rFonts w:eastAsia="Arial Narrow" w:cs="Arial Narrow"/>
                <w:b/>
                <w:spacing w:val="0"/>
              </w:rPr>
            </w:pPr>
          </w:p>
        </w:tc>
        <w:tc>
          <w:tcPr>
            <w:tcW w:w="1717" w:type="dxa"/>
            <w:shd w:val="clear" w:color="auto" w:fill="auto"/>
          </w:tcPr>
          <w:p w14:paraId="7D7A0A55" w14:textId="77777777" w:rsidR="000B28C2" w:rsidRPr="00F668B0" w:rsidRDefault="000B28C2">
            <w:pPr>
              <w:widowControl w:val="0"/>
              <w:spacing w:before="5" w:after="0" w:line="240" w:lineRule="auto"/>
              <w:rPr>
                <w:rFonts w:eastAsia="Arial Narrow" w:cs="Arial Narrow"/>
                <w:b/>
                <w:spacing w:val="0"/>
              </w:rPr>
            </w:pPr>
          </w:p>
        </w:tc>
        <w:tc>
          <w:tcPr>
            <w:tcW w:w="5947" w:type="dxa"/>
            <w:shd w:val="clear" w:color="auto" w:fill="auto"/>
          </w:tcPr>
          <w:p w14:paraId="4DEB4A40" w14:textId="77777777" w:rsidR="000B28C2" w:rsidRPr="00F668B0" w:rsidRDefault="000B28C2">
            <w:pPr>
              <w:widowControl w:val="0"/>
              <w:spacing w:before="5" w:after="0" w:line="240" w:lineRule="auto"/>
              <w:rPr>
                <w:rFonts w:eastAsia="Arial Narrow" w:cs="Arial Narrow"/>
                <w:b/>
                <w:spacing w:val="0"/>
              </w:rPr>
            </w:pPr>
          </w:p>
        </w:tc>
      </w:tr>
      <w:tr w:rsidR="000B28C2" w:rsidRPr="00B57F94" w14:paraId="36F096FA" w14:textId="77777777" w:rsidTr="00F668B0">
        <w:tc>
          <w:tcPr>
            <w:tcW w:w="1781" w:type="dxa"/>
            <w:shd w:val="clear" w:color="auto" w:fill="auto"/>
          </w:tcPr>
          <w:p w14:paraId="620B97A0" w14:textId="77777777" w:rsidR="000B28C2" w:rsidRPr="00F668B0" w:rsidRDefault="000B28C2">
            <w:pPr>
              <w:widowControl w:val="0"/>
              <w:spacing w:before="5" w:after="0" w:line="240" w:lineRule="auto"/>
              <w:rPr>
                <w:rFonts w:eastAsia="Arial Narrow" w:cs="Arial Narrow"/>
                <w:b/>
                <w:spacing w:val="0"/>
              </w:rPr>
            </w:pPr>
          </w:p>
        </w:tc>
        <w:tc>
          <w:tcPr>
            <w:tcW w:w="1717" w:type="dxa"/>
            <w:shd w:val="clear" w:color="auto" w:fill="auto"/>
          </w:tcPr>
          <w:p w14:paraId="71C4D087" w14:textId="77777777" w:rsidR="000B28C2" w:rsidRPr="00F668B0" w:rsidRDefault="000B28C2">
            <w:pPr>
              <w:widowControl w:val="0"/>
              <w:spacing w:before="5" w:after="0" w:line="240" w:lineRule="auto"/>
              <w:rPr>
                <w:rFonts w:eastAsia="Arial Narrow" w:cs="Arial Narrow"/>
                <w:b/>
                <w:spacing w:val="0"/>
              </w:rPr>
            </w:pPr>
          </w:p>
        </w:tc>
        <w:tc>
          <w:tcPr>
            <w:tcW w:w="5947" w:type="dxa"/>
            <w:shd w:val="clear" w:color="auto" w:fill="auto"/>
          </w:tcPr>
          <w:p w14:paraId="2680D177" w14:textId="77777777" w:rsidR="000B28C2" w:rsidRPr="00F668B0" w:rsidRDefault="000B28C2">
            <w:pPr>
              <w:widowControl w:val="0"/>
              <w:spacing w:before="5" w:after="0" w:line="240" w:lineRule="auto"/>
              <w:rPr>
                <w:rFonts w:eastAsia="Arial Narrow" w:cs="Arial Narrow"/>
                <w:b/>
                <w:spacing w:val="0"/>
              </w:rPr>
            </w:pPr>
          </w:p>
        </w:tc>
      </w:tr>
      <w:tr w:rsidR="000B28C2" w:rsidRPr="00B57F94" w14:paraId="4215C24D" w14:textId="77777777" w:rsidTr="00F668B0">
        <w:tc>
          <w:tcPr>
            <w:tcW w:w="1781" w:type="dxa"/>
            <w:shd w:val="clear" w:color="auto" w:fill="auto"/>
          </w:tcPr>
          <w:p w14:paraId="46DCB901" w14:textId="77777777" w:rsidR="000B28C2" w:rsidRPr="00F668B0" w:rsidRDefault="000B28C2">
            <w:pPr>
              <w:widowControl w:val="0"/>
              <w:spacing w:before="5" w:after="0" w:line="240" w:lineRule="auto"/>
              <w:rPr>
                <w:rFonts w:eastAsia="Arial Narrow" w:cs="Arial Narrow"/>
                <w:b/>
                <w:spacing w:val="0"/>
              </w:rPr>
            </w:pPr>
          </w:p>
        </w:tc>
        <w:tc>
          <w:tcPr>
            <w:tcW w:w="1717" w:type="dxa"/>
            <w:shd w:val="clear" w:color="auto" w:fill="auto"/>
          </w:tcPr>
          <w:p w14:paraId="1CB24072" w14:textId="77777777" w:rsidR="000B28C2" w:rsidRPr="00F668B0" w:rsidRDefault="000B28C2">
            <w:pPr>
              <w:widowControl w:val="0"/>
              <w:spacing w:before="5" w:after="0" w:line="240" w:lineRule="auto"/>
              <w:rPr>
                <w:rFonts w:eastAsia="Arial Narrow" w:cs="Arial Narrow"/>
                <w:b/>
                <w:spacing w:val="0"/>
              </w:rPr>
            </w:pPr>
          </w:p>
        </w:tc>
        <w:tc>
          <w:tcPr>
            <w:tcW w:w="5947" w:type="dxa"/>
            <w:shd w:val="clear" w:color="auto" w:fill="auto"/>
          </w:tcPr>
          <w:p w14:paraId="7D5F0A29" w14:textId="77777777" w:rsidR="000B28C2" w:rsidRPr="00F668B0" w:rsidRDefault="000B28C2">
            <w:pPr>
              <w:widowControl w:val="0"/>
              <w:spacing w:before="5" w:after="0" w:line="240" w:lineRule="auto"/>
              <w:rPr>
                <w:rFonts w:eastAsia="Arial Narrow" w:cs="Arial Narrow"/>
                <w:b/>
                <w:spacing w:val="0"/>
              </w:rPr>
            </w:pPr>
          </w:p>
        </w:tc>
      </w:tr>
      <w:tr w:rsidR="000B28C2" w:rsidRPr="00B57F94" w14:paraId="79ED61B1" w14:textId="77777777" w:rsidTr="00F668B0">
        <w:tc>
          <w:tcPr>
            <w:tcW w:w="1781" w:type="dxa"/>
            <w:shd w:val="clear" w:color="auto" w:fill="auto"/>
          </w:tcPr>
          <w:p w14:paraId="57CBE41B" w14:textId="77777777" w:rsidR="000B28C2" w:rsidRPr="00F668B0" w:rsidRDefault="000B28C2">
            <w:pPr>
              <w:widowControl w:val="0"/>
              <w:spacing w:before="5" w:after="0" w:line="240" w:lineRule="auto"/>
              <w:rPr>
                <w:rFonts w:eastAsia="Arial Narrow" w:cs="Arial Narrow"/>
                <w:b/>
                <w:spacing w:val="0"/>
              </w:rPr>
            </w:pPr>
          </w:p>
        </w:tc>
        <w:tc>
          <w:tcPr>
            <w:tcW w:w="1717" w:type="dxa"/>
            <w:shd w:val="clear" w:color="auto" w:fill="auto"/>
          </w:tcPr>
          <w:p w14:paraId="43FABB5F" w14:textId="77777777" w:rsidR="000B28C2" w:rsidRPr="00F668B0" w:rsidRDefault="000B28C2">
            <w:pPr>
              <w:widowControl w:val="0"/>
              <w:spacing w:before="5" w:after="0" w:line="240" w:lineRule="auto"/>
              <w:rPr>
                <w:rFonts w:eastAsia="Arial Narrow" w:cs="Arial Narrow"/>
                <w:b/>
                <w:spacing w:val="0"/>
              </w:rPr>
            </w:pPr>
          </w:p>
        </w:tc>
        <w:tc>
          <w:tcPr>
            <w:tcW w:w="5947" w:type="dxa"/>
            <w:shd w:val="clear" w:color="auto" w:fill="auto"/>
          </w:tcPr>
          <w:p w14:paraId="04F30402" w14:textId="77777777" w:rsidR="000B28C2" w:rsidRPr="00F668B0" w:rsidRDefault="000B28C2">
            <w:pPr>
              <w:widowControl w:val="0"/>
              <w:spacing w:before="5" w:after="0" w:line="240" w:lineRule="auto"/>
              <w:rPr>
                <w:rFonts w:eastAsia="Arial Narrow" w:cs="Arial Narrow"/>
                <w:b/>
                <w:spacing w:val="0"/>
              </w:rPr>
            </w:pPr>
          </w:p>
        </w:tc>
      </w:tr>
      <w:tr w:rsidR="000B28C2" w:rsidRPr="00B57F94" w14:paraId="3E87B6E6" w14:textId="77777777" w:rsidTr="00F668B0">
        <w:tc>
          <w:tcPr>
            <w:tcW w:w="1781" w:type="dxa"/>
            <w:shd w:val="clear" w:color="auto" w:fill="auto"/>
          </w:tcPr>
          <w:p w14:paraId="22C9C082" w14:textId="77777777" w:rsidR="000B28C2" w:rsidRPr="00F668B0" w:rsidRDefault="000B28C2">
            <w:pPr>
              <w:widowControl w:val="0"/>
              <w:spacing w:before="5" w:after="0" w:line="240" w:lineRule="auto"/>
              <w:rPr>
                <w:rFonts w:eastAsia="Arial Narrow" w:cs="Arial Narrow"/>
                <w:b/>
                <w:spacing w:val="0"/>
              </w:rPr>
            </w:pPr>
          </w:p>
        </w:tc>
        <w:tc>
          <w:tcPr>
            <w:tcW w:w="1717" w:type="dxa"/>
            <w:shd w:val="clear" w:color="auto" w:fill="auto"/>
          </w:tcPr>
          <w:p w14:paraId="30EB02C9" w14:textId="77777777" w:rsidR="000B28C2" w:rsidRPr="00F668B0" w:rsidRDefault="000B28C2">
            <w:pPr>
              <w:widowControl w:val="0"/>
              <w:spacing w:before="5" w:after="0" w:line="240" w:lineRule="auto"/>
              <w:rPr>
                <w:rFonts w:eastAsia="Arial Narrow" w:cs="Arial Narrow"/>
                <w:b/>
                <w:spacing w:val="0"/>
              </w:rPr>
            </w:pPr>
          </w:p>
        </w:tc>
        <w:tc>
          <w:tcPr>
            <w:tcW w:w="5947" w:type="dxa"/>
            <w:shd w:val="clear" w:color="auto" w:fill="auto"/>
          </w:tcPr>
          <w:p w14:paraId="42D69E67" w14:textId="77777777" w:rsidR="000B28C2" w:rsidRPr="00F668B0" w:rsidRDefault="000B28C2">
            <w:pPr>
              <w:widowControl w:val="0"/>
              <w:spacing w:before="5" w:after="0" w:line="240" w:lineRule="auto"/>
              <w:rPr>
                <w:rFonts w:eastAsia="Arial Narrow" w:cs="Arial Narrow"/>
                <w:b/>
                <w:spacing w:val="0"/>
              </w:rPr>
            </w:pPr>
          </w:p>
        </w:tc>
      </w:tr>
      <w:tr w:rsidR="000B28C2" w:rsidRPr="00B57F94" w14:paraId="21F6A117" w14:textId="77777777" w:rsidTr="00F668B0">
        <w:tc>
          <w:tcPr>
            <w:tcW w:w="1781" w:type="dxa"/>
            <w:shd w:val="clear" w:color="auto" w:fill="auto"/>
          </w:tcPr>
          <w:p w14:paraId="77807B74" w14:textId="77777777" w:rsidR="000B28C2" w:rsidRPr="00F668B0" w:rsidRDefault="000B28C2">
            <w:pPr>
              <w:widowControl w:val="0"/>
              <w:spacing w:before="5" w:after="0" w:line="240" w:lineRule="auto"/>
              <w:rPr>
                <w:rFonts w:eastAsia="Arial Narrow" w:cs="Arial Narrow"/>
                <w:b/>
                <w:spacing w:val="0"/>
              </w:rPr>
            </w:pPr>
          </w:p>
        </w:tc>
        <w:tc>
          <w:tcPr>
            <w:tcW w:w="1717" w:type="dxa"/>
            <w:shd w:val="clear" w:color="auto" w:fill="auto"/>
          </w:tcPr>
          <w:p w14:paraId="170D128B" w14:textId="77777777" w:rsidR="000B28C2" w:rsidRPr="00F668B0" w:rsidRDefault="000B28C2">
            <w:pPr>
              <w:widowControl w:val="0"/>
              <w:spacing w:before="5" w:after="0" w:line="240" w:lineRule="auto"/>
              <w:rPr>
                <w:rFonts w:eastAsia="Arial Narrow" w:cs="Arial Narrow"/>
                <w:b/>
                <w:spacing w:val="0"/>
              </w:rPr>
            </w:pPr>
          </w:p>
        </w:tc>
        <w:tc>
          <w:tcPr>
            <w:tcW w:w="5947" w:type="dxa"/>
            <w:shd w:val="clear" w:color="auto" w:fill="auto"/>
          </w:tcPr>
          <w:p w14:paraId="6B8D2CA5" w14:textId="77777777" w:rsidR="000B28C2" w:rsidRPr="00F668B0" w:rsidRDefault="000B28C2">
            <w:pPr>
              <w:widowControl w:val="0"/>
              <w:spacing w:before="5" w:after="0" w:line="240" w:lineRule="auto"/>
              <w:rPr>
                <w:rFonts w:eastAsia="Arial Narrow" w:cs="Arial Narrow"/>
                <w:b/>
                <w:spacing w:val="0"/>
              </w:rPr>
            </w:pPr>
          </w:p>
        </w:tc>
      </w:tr>
      <w:tr w:rsidR="000E4EF0" w:rsidRPr="00F668B0" w14:paraId="3D35BB6A" w14:textId="77777777" w:rsidTr="00F668B0">
        <w:tc>
          <w:tcPr>
            <w:tcW w:w="1781" w:type="dxa"/>
            <w:shd w:val="clear" w:color="auto" w:fill="auto"/>
          </w:tcPr>
          <w:p w14:paraId="52B5F73C" w14:textId="77777777" w:rsidR="000E4EF0" w:rsidRPr="00F668B0" w:rsidRDefault="000E4EF0">
            <w:pPr>
              <w:widowControl w:val="0"/>
              <w:spacing w:before="5" w:after="0" w:line="240" w:lineRule="auto"/>
              <w:rPr>
                <w:rFonts w:eastAsia="Arial Narrow" w:cs="Arial Narrow"/>
                <w:b/>
                <w:bCs/>
                <w:spacing w:val="0"/>
              </w:rPr>
            </w:pPr>
          </w:p>
        </w:tc>
        <w:tc>
          <w:tcPr>
            <w:tcW w:w="1717" w:type="dxa"/>
            <w:shd w:val="clear" w:color="auto" w:fill="auto"/>
          </w:tcPr>
          <w:p w14:paraId="29DA8959" w14:textId="77777777" w:rsidR="000E4EF0" w:rsidRPr="00F668B0" w:rsidRDefault="000E4EF0">
            <w:pPr>
              <w:widowControl w:val="0"/>
              <w:spacing w:before="5" w:after="0" w:line="240" w:lineRule="auto"/>
              <w:rPr>
                <w:rFonts w:eastAsia="Arial Narrow" w:cs="Arial Narrow"/>
                <w:b/>
                <w:bCs/>
                <w:spacing w:val="0"/>
              </w:rPr>
            </w:pPr>
          </w:p>
        </w:tc>
        <w:tc>
          <w:tcPr>
            <w:tcW w:w="5947" w:type="dxa"/>
            <w:shd w:val="clear" w:color="auto" w:fill="auto"/>
          </w:tcPr>
          <w:p w14:paraId="3FD3D8EC" w14:textId="77777777" w:rsidR="000E4EF0" w:rsidRPr="00F668B0" w:rsidRDefault="000E4EF0">
            <w:pPr>
              <w:widowControl w:val="0"/>
              <w:spacing w:before="5" w:after="0" w:line="240" w:lineRule="auto"/>
              <w:rPr>
                <w:rFonts w:eastAsia="Arial Narrow" w:cs="Arial Narrow"/>
                <w:b/>
                <w:bCs/>
                <w:spacing w:val="0"/>
              </w:rPr>
            </w:pPr>
          </w:p>
        </w:tc>
      </w:tr>
      <w:tr w:rsidR="000E4EF0" w:rsidRPr="00F668B0" w14:paraId="4DF1B729" w14:textId="77777777" w:rsidTr="00F668B0">
        <w:tc>
          <w:tcPr>
            <w:tcW w:w="1781" w:type="dxa"/>
            <w:shd w:val="clear" w:color="auto" w:fill="auto"/>
          </w:tcPr>
          <w:p w14:paraId="516397A4" w14:textId="77777777" w:rsidR="000E4EF0" w:rsidRPr="00F668B0" w:rsidRDefault="000E4EF0">
            <w:pPr>
              <w:widowControl w:val="0"/>
              <w:spacing w:before="5" w:after="0" w:line="240" w:lineRule="auto"/>
              <w:rPr>
                <w:rFonts w:eastAsia="Arial Narrow" w:cs="Arial Narrow"/>
                <w:b/>
                <w:bCs/>
                <w:spacing w:val="0"/>
              </w:rPr>
            </w:pPr>
          </w:p>
        </w:tc>
        <w:tc>
          <w:tcPr>
            <w:tcW w:w="1717" w:type="dxa"/>
            <w:shd w:val="clear" w:color="auto" w:fill="auto"/>
          </w:tcPr>
          <w:p w14:paraId="74BD4904" w14:textId="77777777" w:rsidR="000E4EF0" w:rsidRPr="00F668B0" w:rsidRDefault="000E4EF0">
            <w:pPr>
              <w:widowControl w:val="0"/>
              <w:spacing w:before="5" w:after="0" w:line="240" w:lineRule="auto"/>
              <w:rPr>
                <w:rFonts w:eastAsia="Arial Narrow" w:cs="Arial Narrow"/>
                <w:b/>
                <w:bCs/>
                <w:spacing w:val="0"/>
              </w:rPr>
            </w:pPr>
          </w:p>
        </w:tc>
        <w:tc>
          <w:tcPr>
            <w:tcW w:w="5947" w:type="dxa"/>
            <w:shd w:val="clear" w:color="auto" w:fill="auto"/>
          </w:tcPr>
          <w:p w14:paraId="1CA70183" w14:textId="77777777" w:rsidR="000E4EF0" w:rsidRPr="00F668B0" w:rsidRDefault="000E4EF0">
            <w:pPr>
              <w:widowControl w:val="0"/>
              <w:spacing w:before="5" w:after="0" w:line="240" w:lineRule="auto"/>
              <w:rPr>
                <w:rFonts w:eastAsia="Arial Narrow" w:cs="Arial Narrow"/>
                <w:b/>
                <w:bCs/>
                <w:spacing w:val="0"/>
              </w:rPr>
            </w:pPr>
          </w:p>
        </w:tc>
      </w:tr>
      <w:tr w:rsidR="000E4EF0" w:rsidRPr="00F668B0" w14:paraId="26A4BAAC" w14:textId="77777777" w:rsidTr="00F668B0">
        <w:tc>
          <w:tcPr>
            <w:tcW w:w="1781" w:type="dxa"/>
            <w:shd w:val="clear" w:color="auto" w:fill="auto"/>
          </w:tcPr>
          <w:p w14:paraId="4D0C7F0E" w14:textId="77777777" w:rsidR="000E4EF0" w:rsidRPr="00F668B0" w:rsidRDefault="000E4EF0">
            <w:pPr>
              <w:widowControl w:val="0"/>
              <w:spacing w:before="5" w:after="0" w:line="240" w:lineRule="auto"/>
              <w:rPr>
                <w:rFonts w:eastAsia="Arial Narrow" w:cs="Arial Narrow"/>
                <w:b/>
                <w:bCs/>
                <w:spacing w:val="0"/>
              </w:rPr>
            </w:pPr>
          </w:p>
        </w:tc>
        <w:tc>
          <w:tcPr>
            <w:tcW w:w="1717" w:type="dxa"/>
            <w:shd w:val="clear" w:color="auto" w:fill="auto"/>
          </w:tcPr>
          <w:p w14:paraId="737309C9" w14:textId="77777777" w:rsidR="000E4EF0" w:rsidRPr="00F668B0" w:rsidRDefault="000E4EF0">
            <w:pPr>
              <w:widowControl w:val="0"/>
              <w:spacing w:before="5" w:after="0" w:line="240" w:lineRule="auto"/>
              <w:rPr>
                <w:rFonts w:eastAsia="Arial Narrow" w:cs="Arial Narrow"/>
                <w:b/>
                <w:bCs/>
                <w:spacing w:val="0"/>
              </w:rPr>
            </w:pPr>
          </w:p>
        </w:tc>
        <w:tc>
          <w:tcPr>
            <w:tcW w:w="5947" w:type="dxa"/>
            <w:shd w:val="clear" w:color="auto" w:fill="auto"/>
          </w:tcPr>
          <w:p w14:paraId="1F4B4BB9" w14:textId="77777777" w:rsidR="000E4EF0" w:rsidRPr="00F668B0" w:rsidRDefault="000E4EF0">
            <w:pPr>
              <w:widowControl w:val="0"/>
              <w:spacing w:before="5" w:after="0" w:line="240" w:lineRule="auto"/>
              <w:rPr>
                <w:rFonts w:eastAsia="Arial Narrow" w:cs="Arial Narrow"/>
                <w:b/>
                <w:bCs/>
                <w:spacing w:val="0"/>
              </w:rPr>
            </w:pPr>
          </w:p>
        </w:tc>
      </w:tr>
      <w:tr w:rsidR="000E4EF0" w:rsidRPr="00F668B0" w14:paraId="50E0235E" w14:textId="77777777" w:rsidTr="00F668B0">
        <w:tc>
          <w:tcPr>
            <w:tcW w:w="1781" w:type="dxa"/>
            <w:shd w:val="clear" w:color="auto" w:fill="auto"/>
          </w:tcPr>
          <w:p w14:paraId="189A1062" w14:textId="77777777" w:rsidR="000E4EF0" w:rsidRPr="00F668B0" w:rsidRDefault="000E4EF0">
            <w:pPr>
              <w:widowControl w:val="0"/>
              <w:spacing w:before="5" w:after="0" w:line="240" w:lineRule="auto"/>
              <w:rPr>
                <w:rFonts w:eastAsia="Arial Narrow" w:cs="Arial Narrow"/>
                <w:b/>
                <w:bCs/>
                <w:spacing w:val="0"/>
              </w:rPr>
            </w:pPr>
          </w:p>
        </w:tc>
        <w:tc>
          <w:tcPr>
            <w:tcW w:w="1717" w:type="dxa"/>
            <w:shd w:val="clear" w:color="auto" w:fill="auto"/>
          </w:tcPr>
          <w:p w14:paraId="69734668" w14:textId="77777777" w:rsidR="000E4EF0" w:rsidRPr="00F668B0" w:rsidRDefault="000E4EF0">
            <w:pPr>
              <w:widowControl w:val="0"/>
              <w:spacing w:before="5" w:after="0" w:line="240" w:lineRule="auto"/>
              <w:rPr>
                <w:rFonts w:eastAsia="Arial Narrow" w:cs="Arial Narrow"/>
                <w:b/>
                <w:bCs/>
                <w:spacing w:val="0"/>
              </w:rPr>
            </w:pPr>
          </w:p>
        </w:tc>
        <w:tc>
          <w:tcPr>
            <w:tcW w:w="5947" w:type="dxa"/>
            <w:shd w:val="clear" w:color="auto" w:fill="auto"/>
          </w:tcPr>
          <w:p w14:paraId="0660F693" w14:textId="77777777" w:rsidR="000E4EF0" w:rsidRPr="00F668B0" w:rsidRDefault="000E4EF0">
            <w:pPr>
              <w:widowControl w:val="0"/>
              <w:spacing w:before="5" w:after="0" w:line="240" w:lineRule="auto"/>
              <w:rPr>
                <w:rFonts w:eastAsia="Arial Narrow" w:cs="Arial Narrow"/>
                <w:b/>
                <w:bCs/>
                <w:spacing w:val="0"/>
              </w:rPr>
            </w:pPr>
          </w:p>
        </w:tc>
      </w:tr>
      <w:tr w:rsidR="000E4EF0" w:rsidRPr="00F668B0" w14:paraId="15E0ED0D" w14:textId="77777777" w:rsidTr="00F668B0">
        <w:tc>
          <w:tcPr>
            <w:tcW w:w="1781" w:type="dxa"/>
            <w:shd w:val="clear" w:color="auto" w:fill="auto"/>
          </w:tcPr>
          <w:p w14:paraId="41B9AF4E" w14:textId="77777777" w:rsidR="000E4EF0" w:rsidRPr="00F668B0" w:rsidRDefault="000E4EF0">
            <w:pPr>
              <w:widowControl w:val="0"/>
              <w:spacing w:before="5" w:after="0" w:line="240" w:lineRule="auto"/>
              <w:rPr>
                <w:rFonts w:eastAsia="Arial Narrow" w:cs="Arial Narrow"/>
                <w:b/>
                <w:bCs/>
                <w:spacing w:val="0"/>
              </w:rPr>
            </w:pPr>
          </w:p>
        </w:tc>
        <w:tc>
          <w:tcPr>
            <w:tcW w:w="1717" w:type="dxa"/>
            <w:shd w:val="clear" w:color="auto" w:fill="auto"/>
          </w:tcPr>
          <w:p w14:paraId="0B871B3B" w14:textId="77777777" w:rsidR="000E4EF0" w:rsidRPr="00F668B0" w:rsidRDefault="000E4EF0">
            <w:pPr>
              <w:widowControl w:val="0"/>
              <w:spacing w:before="5" w:after="0" w:line="240" w:lineRule="auto"/>
              <w:rPr>
                <w:rFonts w:eastAsia="Arial Narrow" w:cs="Arial Narrow"/>
                <w:b/>
                <w:bCs/>
                <w:spacing w:val="0"/>
              </w:rPr>
            </w:pPr>
          </w:p>
        </w:tc>
        <w:tc>
          <w:tcPr>
            <w:tcW w:w="5947" w:type="dxa"/>
            <w:shd w:val="clear" w:color="auto" w:fill="auto"/>
          </w:tcPr>
          <w:p w14:paraId="592C5C61" w14:textId="77777777" w:rsidR="000E4EF0" w:rsidRPr="00F668B0" w:rsidRDefault="000E4EF0">
            <w:pPr>
              <w:widowControl w:val="0"/>
              <w:spacing w:before="5" w:after="0" w:line="240" w:lineRule="auto"/>
              <w:rPr>
                <w:rFonts w:eastAsia="Arial Narrow" w:cs="Arial Narrow"/>
                <w:b/>
                <w:bCs/>
                <w:spacing w:val="0"/>
              </w:rPr>
            </w:pPr>
          </w:p>
        </w:tc>
      </w:tr>
      <w:tr w:rsidR="000E4EF0" w:rsidRPr="00F668B0" w14:paraId="1801CD7F" w14:textId="77777777" w:rsidTr="00F668B0">
        <w:tc>
          <w:tcPr>
            <w:tcW w:w="1781" w:type="dxa"/>
            <w:shd w:val="clear" w:color="auto" w:fill="auto"/>
          </w:tcPr>
          <w:p w14:paraId="70F2D034" w14:textId="77777777" w:rsidR="000E4EF0" w:rsidRPr="00F668B0" w:rsidRDefault="000E4EF0">
            <w:pPr>
              <w:widowControl w:val="0"/>
              <w:spacing w:before="5" w:after="0" w:line="240" w:lineRule="auto"/>
              <w:rPr>
                <w:rFonts w:eastAsia="Arial Narrow" w:cs="Arial Narrow"/>
                <w:b/>
                <w:bCs/>
                <w:spacing w:val="0"/>
              </w:rPr>
            </w:pPr>
          </w:p>
        </w:tc>
        <w:tc>
          <w:tcPr>
            <w:tcW w:w="1717" w:type="dxa"/>
            <w:shd w:val="clear" w:color="auto" w:fill="auto"/>
          </w:tcPr>
          <w:p w14:paraId="2E2A5BD8" w14:textId="77777777" w:rsidR="000E4EF0" w:rsidRPr="00F668B0" w:rsidRDefault="000E4EF0">
            <w:pPr>
              <w:widowControl w:val="0"/>
              <w:spacing w:before="5" w:after="0" w:line="240" w:lineRule="auto"/>
              <w:rPr>
                <w:rFonts w:eastAsia="Arial Narrow" w:cs="Arial Narrow"/>
                <w:b/>
                <w:bCs/>
                <w:spacing w:val="0"/>
              </w:rPr>
            </w:pPr>
          </w:p>
        </w:tc>
        <w:tc>
          <w:tcPr>
            <w:tcW w:w="5947" w:type="dxa"/>
            <w:shd w:val="clear" w:color="auto" w:fill="auto"/>
          </w:tcPr>
          <w:p w14:paraId="2A12382D" w14:textId="77777777" w:rsidR="000E4EF0" w:rsidRPr="00F668B0" w:rsidRDefault="000E4EF0">
            <w:pPr>
              <w:widowControl w:val="0"/>
              <w:spacing w:before="5" w:after="0" w:line="240" w:lineRule="auto"/>
              <w:rPr>
                <w:rFonts w:eastAsia="Arial Narrow" w:cs="Arial Narrow"/>
                <w:b/>
                <w:bCs/>
                <w:spacing w:val="0"/>
              </w:rPr>
            </w:pPr>
          </w:p>
        </w:tc>
      </w:tr>
      <w:tr w:rsidR="000B28C2" w:rsidRPr="00B57F94" w14:paraId="2D341FA0" w14:textId="77777777" w:rsidTr="00F668B0">
        <w:tc>
          <w:tcPr>
            <w:tcW w:w="1781" w:type="dxa"/>
            <w:shd w:val="clear" w:color="auto" w:fill="auto"/>
          </w:tcPr>
          <w:p w14:paraId="0D8EBF9B" w14:textId="77777777" w:rsidR="000B28C2" w:rsidRPr="00F668B0" w:rsidRDefault="000B28C2">
            <w:pPr>
              <w:widowControl w:val="0"/>
              <w:spacing w:before="5" w:after="0" w:line="240" w:lineRule="auto"/>
              <w:rPr>
                <w:rFonts w:eastAsia="Arial Narrow" w:cs="Arial Narrow"/>
                <w:b/>
                <w:spacing w:val="0"/>
              </w:rPr>
            </w:pPr>
          </w:p>
        </w:tc>
        <w:tc>
          <w:tcPr>
            <w:tcW w:w="1717" w:type="dxa"/>
            <w:shd w:val="clear" w:color="auto" w:fill="auto"/>
          </w:tcPr>
          <w:p w14:paraId="38596564" w14:textId="77777777" w:rsidR="000B28C2" w:rsidRPr="00F668B0" w:rsidRDefault="000B28C2">
            <w:pPr>
              <w:widowControl w:val="0"/>
              <w:spacing w:before="5" w:after="0" w:line="240" w:lineRule="auto"/>
              <w:rPr>
                <w:rFonts w:eastAsia="Arial Narrow" w:cs="Arial Narrow"/>
                <w:b/>
                <w:spacing w:val="0"/>
              </w:rPr>
            </w:pPr>
          </w:p>
        </w:tc>
        <w:tc>
          <w:tcPr>
            <w:tcW w:w="5947" w:type="dxa"/>
            <w:shd w:val="clear" w:color="auto" w:fill="auto"/>
          </w:tcPr>
          <w:p w14:paraId="58937D20" w14:textId="77777777" w:rsidR="000B28C2" w:rsidRPr="00F668B0" w:rsidRDefault="000B28C2">
            <w:pPr>
              <w:widowControl w:val="0"/>
              <w:spacing w:before="5" w:after="0" w:line="240" w:lineRule="auto"/>
              <w:rPr>
                <w:rFonts w:eastAsia="Arial Narrow" w:cs="Arial Narrow"/>
                <w:b/>
                <w:spacing w:val="0"/>
              </w:rPr>
            </w:pPr>
          </w:p>
        </w:tc>
      </w:tr>
    </w:tbl>
    <w:p w14:paraId="43ADFF49" w14:textId="47D408B0" w:rsidR="000B28C2" w:rsidRDefault="000B28C2" w:rsidP="00A545D9"/>
    <w:p w14:paraId="2C5E21EE" w14:textId="77777777" w:rsidR="00960C35" w:rsidRDefault="001B3EAC">
      <w:pPr>
        <w:spacing w:after="160" w:line="259" w:lineRule="auto"/>
      </w:pPr>
      <w:r>
        <w:br w:type="page"/>
      </w:r>
    </w:p>
    <w:p w14:paraId="354282D5" w14:textId="6459D337" w:rsidR="00960C35" w:rsidRPr="008D1968" w:rsidRDefault="00A26CB4" w:rsidP="008D1968">
      <w:pPr>
        <w:pStyle w:val="Heading2"/>
        <w:rPr>
          <w:rFonts w:ascii="CG Times" w:eastAsia="Times New Roman" w:hAnsi="CG Times" w:cs="Arial"/>
          <w:spacing w:val="0"/>
          <w:sz w:val="32"/>
          <w:szCs w:val="32"/>
        </w:rPr>
      </w:pPr>
      <w:bookmarkStart w:id="112" w:name="_Toc187052980"/>
      <w:bookmarkStart w:id="113" w:name="_Toc187924160"/>
      <w:r w:rsidRPr="548D0660">
        <w:rPr>
          <w:rStyle w:val="normaltextrun"/>
          <w:shd w:val="clear" w:color="auto" w:fill="FFFFFF"/>
        </w:rPr>
        <w:lastRenderedPageBreak/>
        <w:t>4.1 – Introduction-Screening</w:t>
      </w:r>
      <w:bookmarkEnd w:id="112"/>
      <w:bookmarkEnd w:id="113"/>
    </w:p>
    <w:p w14:paraId="2A413C96" w14:textId="1F85CDB2" w:rsidR="00315F6D" w:rsidRPr="00EA7341" w:rsidRDefault="00804F31" w:rsidP="002E1CCB">
      <w:pPr>
        <w:pStyle w:val="paragraph"/>
        <w:spacing w:before="0" w:beforeAutospacing="0" w:after="0" w:afterAutospacing="0" w:line="252" w:lineRule="auto"/>
        <w:textAlignment w:val="baseline"/>
        <w:rPr>
          <w:rStyle w:val="normaltextrun"/>
          <w:rFonts w:ascii="Source Serif Pro" w:eastAsiaTheme="majorEastAsia" w:hAnsi="Source Serif Pro" w:cs="Segoe UI"/>
          <w:sz w:val="22"/>
          <w:szCs w:val="22"/>
        </w:rPr>
      </w:pPr>
      <w:r w:rsidRPr="00EA7341">
        <w:rPr>
          <w:rStyle w:val="normaltextrun"/>
          <w:rFonts w:ascii="Source Serif Pro" w:eastAsiaTheme="majorEastAsia" w:hAnsi="Source Serif Pro" w:cs="Segoe UI"/>
          <w:sz w:val="22"/>
          <w:szCs w:val="22"/>
        </w:rPr>
        <w:t xml:space="preserve">When there are known issues prior to the scheduling of a background investigation, adjudicators should properly assess the potential impact on suitability or fitness. Preemployment screening can reduce the risk to the Federal government by addressing issues prior to initiating a background investigation and/or onboarding. </w:t>
      </w:r>
      <w:r w:rsidR="00315F6D" w:rsidRPr="00EA7341">
        <w:rPr>
          <w:rStyle w:val="normaltextrun"/>
          <w:rFonts w:ascii="Source Serif Pro" w:eastAsiaTheme="majorEastAsia" w:hAnsi="Source Serif Pro" w:cs="Segoe UI"/>
          <w:sz w:val="22"/>
          <w:szCs w:val="22"/>
        </w:rPr>
        <w:t>Vetting of individual</w:t>
      </w:r>
      <w:r w:rsidR="002174D2" w:rsidRPr="00EA7341">
        <w:rPr>
          <w:rStyle w:val="normaltextrun"/>
          <w:rFonts w:ascii="Source Serif Pro" w:eastAsiaTheme="majorEastAsia" w:hAnsi="Source Serif Pro" w:cs="Segoe UI"/>
          <w:sz w:val="22"/>
          <w:szCs w:val="22"/>
        </w:rPr>
        <w:t xml:space="preserve">s </w:t>
      </w:r>
      <w:r w:rsidR="00315F6D" w:rsidRPr="00EA7341">
        <w:rPr>
          <w:rStyle w:val="normaltextrun"/>
          <w:rFonts w:ascii="Source Serif Pro" w:eastAsiaTheme="majorEastAsia" w:hAnsi="Source Serif Pro" w:cs="Segoe UI"/>
          <w:sz w:val="22"/>
          <w:szCs w:val="22"/>
        </w:rPr>
        <w:t>can begin at any time during the application or hiring process</w:t>
      </w:r>
      <w:r w:rsidR="002174D2" w:rsidRPr="00EA7341">
        <w:rPr>
          <w:rStyle w:val="normaltextrun"/>
          <w:rFonts w:ascii="Source Serif Pro" w:eastAsiaTheme="majorEastAsia" w:hAnsi="Source Serif Pro" w:cs="Segoe UI"/>
          <w:sz w:val="22"/>
          <w:szCs w:val="22"/>
        </w:rPr>
        <w:t xml:space="preserve"> but it generally occurs at the point of collecting the Optional Form (OF 306). However, when an agency identifies any evidence of material, intentional falsification, or fraud or deception, in examination or appointment (such as when evaluating qualifications, certifying applicants, or reviewing applicant materials post selection) the agency is required to notify OPM if the position is in the competitive service, the excepted service that noncompetitively convert to the competitive service, or career appointments to the Senior Executive Service (hereinafter referred to as competitive service or career Senior Executive Service positions). </w:t>
      </w:r>
      <w:r w:rsidR="00315F6D" w:rsidRPr="00EA7341">
        <w:rPr>
          <w:rStyle w:val="normaltextrun"/>
          <w:rFonts w:ascii="Source Serif Pro" w:eastAsiaTheme="majorEastAsia" w:hAnsi="Source Serif Pro" w:cs="Segoe UI"/>
          <w:sz w:val="22"/>
          <w:szCs w:val="22"/>
        </w:rPr>
        <w:t>As such, if issues of concern are discovered during the pre-employment vetting process, an unfavorable suitability or fitness determination</w:t>
      </w:r>
      <w:r w:rsidR="0004486B" w:rsidRPr="00EA7341">
        <w:rPr>
          <w:rStyle w:val="normaltextrun"/>
          <w:rFonts w:ascii="Source Serif Pro" w:eastAsiaTheme="majorEastAsia" w:hAnsi="Source Serif Pro" w:cs="Segoe UI"/>
          <w:sz w:val="22"/>
          <w:szCs w:val="22"/>
        </w:rPr>
        <w:t xml:space="preserve">, as addressed in </w:t>
      </w:r>
      <w:hyperlink w:anchor="_3.4_–_How" w:history="1">
        <w:r w:rsidR="0004486B" w:rsidRPr="007A154B">
          <w:rPr>
            <w:rStyle w:val="Hyperlink"/>
            <w:rFonts w:ascii="Source Serif Pro" w:eastAsiaTheme="majorEastAsia" w:hAnsi="Source Serif Pro" w:cs="Segoe UI"/>
            <w:sz w:val="22"/>
            <w:szCs w:val="22"/>
          </w:rPr>
          <w:t>Volume 3</w:t>
        </w:r>
      </w:hyperlink>
      <w:r w:rsidR="0004486B" w:rsidRPr="00EA7341">
        <w:rPr>
          <w:rStyle w:val="normaltextrun"/>
          <w:rFonts w:ascii="Source Serif Pro" w:eastAsiaTheme="majorEastAsia" w:hAnsi="Source Serif Pro" w:cs="Segoe UI"/>
          <w:sz w:val="22"/>
          <w:szCs w:val="22"/>
        </w:rPr>
        <w:t xml:space="preserve"> of this Manual,</w:t>
      </w:r>
      <w:r w:rsidR="00315F6D" w:rsidRPr="00EA7341">
        <w:rPr>
          <w:rStyle w:val="normaltextrun"/>
          <w:rFonts w:ascii="Source Serif Pro" w:eastAsiaTheme="majorEastAsia" w:hAnsi="Source Serif Pro" w:cs="Segoe UI"/>
          <w:sz w:val="22"/>
          <w:szCs w:val="22"/>
        </w:rPr>
        <w:t xml:space="preserve"> can be made. Additionally, for suitability, actions can be taken under 5 C</w:t>
      </w:r>
      <w:r w:rsidR="008813C7">
        <w:rPr>
          <w:rStyle w:val="normaltextrun"/>
          <w:rFonts w:ascii="Source Serif Pro" w:eastAsiaTheme="majorEastAsia" w:hAnsi="Source Serif Pro" w:cs="Segoe UI"/>
          <w:sz w:val="22"/>
          <w:szCs w:val="22"/>
        </w:rPr>
        <w:t>.</w:t>
      </w:r>
      <w:r w:rsidR="00315F6D" w:rsidRPr="00EA7341">
        <w:rPr>
          <w:rStyle w:val="normaltextrun"/>
          <w:rFonts w:ascii="Source Serif Pro" w:eastAsiaTheme="majorEastAsia" w:hAnsi="Source Serif Pro" w:cs="Segoe UI"/>
          <w:sz w:val="22"/>
          <w:szCs w:val="22"/>
        </w:rPr>
        <w:t>F</w:t>
      </w:r>
      <w:r w:rsidR="008813C7">
        <w:rPr>
          <w:rStyle w:val="normaltextrun"/>
          <w:rFonts w:ascii="Source Serif Pro" w:eastAsiaTheme="majorEastAsia" w:hAnsi="Source Serif Pro" w:cs="Segoe UI"/>
          <w:sz w:val="22"/>
          <w:szCs w:val="22"/>
        </w:rPr>
        <w:t>.</w:t>
      </w:r>
      <w:r w:rsidR="00315F6D" w:rsidRPr="00EA7341">
        <w:rPr>
          <w:rStyle w:val="normaltextrun"/>
          <w:rFonts w:ascii="Source Serif Pro" w:eastAsiaTheme="majorEastAsia" w:hAnsi="Source Serif Pro" w:cs="Segoe UI"/>
          <w:sz w:val="22"/>
          <w:szCs w:val="22"/>
        </w:rPr>
        <w:t>R</w:t>
      </w:r>
      <w:r w:rsidR="008813C7">
        <w:rPr>
          <w:rStyle w:val="normaltextrun"/>
          <w:rFonts w:ascii="Source Serif Pro" w:eastAsiaTheme="majorEastAsia" w:hAnsi="Source Serif Pro" w:cs="Segoe UI"/>
          <w:sz w:val="22"/>
          <w:szCs w:val="22"/>
        </w:rPr>
        <w:t>.</w:t>
      </w:r>
      <w:r w:rsidR="00315F6D" w:rsidRPr="00EA7341">
        <w:rPr>
          <w:rStyle w:val="normaltextrun"/>
          <w:rFonts w:ascii="Source Serif Pro" w:eastAsiaTheme="majorEastAsia" w:hAnsi="Source Serif Pro" w:cs="Segoe UI"/>
          <w:sz w:val="22"/>
          <w:szCs w:val="22"/>
        </w:rPr>
        <w:t xml:space="preserve"> </w:t>
      </w:r>
      <w:r w:rsidR="008813C7">
        <w:rPr>
          <w:rStyle w:val="normaltextrun"/>
          <w:rFonts w:ascii="Source Serif Pro" w:eastAsiaTheme="majorEastAsia" w:hAnsi="Source Serif Pro" w:cs="Segoe UI"/>
          <w:sz w:val="22"/>
          <w:szCs w:val="22"/>
        </w:rPr>
        <w:t xml:space="preserve">part </w:t>
      </w:r>
      <w:r w:rsidR="00315F6D" w:rsidRPr="00EA7341">
        <w:rPr>
          <w:rStyle w:val="normaltextrun"/>
          <w:rFonts w:ascii="Source Serif Pro" w:eastAsiaTheme="majorEastAsia" w:hAnsi="Source Serif Pro" w:cs="Segoe UI"/>
          <w:sz w:val="22"/>
          <w:szCs w:val="22"/>
        </w:rPr>
        <w:t xml:space="preserve">731 (see </w:t>
      </w:r>
      <w:hyperlink w:anchor="_5.7–_Suitability_Actions" w:history="1">
        <w:r w:rsidR="002174D2" w:rsidRPr="004A73FE">
          <w:rPr>
            <w:rStyle w:val="Hyperlink"/>
            <w:rFonts w:ascii="Source Serif Pro" w:eastAsiaTheme="majorEastAsia" w:hAnsi="Source Serif Pro" w:cs="Segoe UI"/>
            <w:sz w:val="22"/>
            <w:szCs w:val="22"/>
          </w:rPr>
          <w:t>Volume 5</w:t>
        </w:r>
      </w:hyperlink>
      <w:r w:rsidR="002174D2" w:rsidRPr="00EA7341">
        <w:rPr>
          <w:rStyle w:val="normaltextrun"/>
          <w:rFonts w:ascii="Source Serif Pro" w:eastAsiaTheme="majorEastAsia" w:hAnsi="Source Serif Pro" w:cs="Segoe UI"/>
          <w:sz w:val="22"/>
          <w:szCs w:val="22"/>
        </w:rPr>
        <w:t xml:space="preserve"> in this Manual </w:t>
      </w:r>
      <w:r w:rsidR="00315F6D" w:rsidRPr="00EA7341">
        <w:rPr>
          <w:rStyle w:val="normaltextrun"/>
          <w:rFonts w:ascii="Source Serif Pro" w:eastAsiaTheme="majorEastAsia" w:hAnsi="Source Serif Pro" w:cs="Segoe UI"/>
          <w:sz w:val="22"/>
          <w:szCs w:val="22"/>
        </w:rPr>
        <w:t xml:space="preserve">for guidance on suitability actions). </w:t>
      </w:r>
    </w:p>
    <w:p w14:paraId="064310EA" w14:textId="77777777" w:rsidR="0004486B" w:rsidRPr="00EA7341" w:rsidRDefault="0004486B" w:rsidP="002E1CCB">
      <w:pPr>
        <w:pStyle w:val="paragraph"/>
        <w:spacing w:before="0" w:beforeAutospacing="0" w:after="0" w:afterAutospacing="0" w:line="252" w:lineRule="auto"/>
        <w:textAlignment w:val="baseline"/>
        <w:rPr>
          <w:rFonts w:ascii="Source Serif Pro" w:hAnsi="Source Serif Pro" w:cs="Segoe UI"/>
          <w:sz w:val="18"/>
          <w:szCs w:val="18"/>
        </w:rPr>
      </w:pPr>
    </w:p>
    <w:p w14:paraId="5FFAF7E4" w14:textId="075F3A00" w:rsidR="0004486B" w:rsidRPr="002E1CCB" w:rsidRDefault="00315F6D" w:rsidP="002E1CCB">
      <w:pPr>
        <w:pStyle w:val="paragraph"/>
        <w:spacing w:before="0" w:beforeAutospacing="0" w:after="0" w:afterAutospacing="0" w:line="252" w:lineRule="auto"/>
        <w:textAlignment w:val="baseline"/>
        <w:rPr>
          <w:rFonts w:ascii="Source Serif Pro" w:eastAsiaTheme="majorEastAsia" w:hAnsi="Source Serif Pro" w:cs="Segoe UI"/>
          <w:sz w:val="22"/>
          <w:szCs w:val="22"/>
        </w:rPr>
      </w:pPr>
      <w:r w:rsidRPr="00EA7341">
        <w:rPr>
          <w:rStyle w:val="normaltextrun"/>
          <w:rFonts w:ascii="Source Serif Pro" w:eastAsiaTheme="majorEastAsia" w:hAnsi="Source Serif Pro" w:cs="Segoe UI"/>
          <w:sz w:val="22"/>
          <w:szCs w:val="22"/>
        </w:rPr>
        <w:t xml:space="preserve">The qualification and suitability </w:t>
      </w:r>
      <w:r w:rsidR="0004486B" w:rsidRPr="00EA7341">
        <w:rPr>
          <w:rStyle w:val="normaltextrun"/>
          <w:rFonts w:ascii="Source Serif Pro" w:eastAsiaTheme="majorEastAsia" w:hAnsi="Source Serif Pro" w:cs="Segoe UI"/>
          <w:sz w:val="22"/>
          <w:szCs w:val="22"/>
        </w:rPr>
        <w:t xml:space="preserve">or fitness </w:t>
      </w:r>
      <w:r w:rsidRPr="00EA7341">
        <w:rPr>
          <w:rStyle w:val="normaltextrun"/>
          <w:rFonts w:ascii="Source Serif Pro" w:eastAsiaTheme="majorEastAsia" w:hAnsi="Source Serif Pro" w:cs="Segoe UI"/>
          <w:sz w:val="22"/>
          <w:szCs w:val="22"/>
        </w:rPr>
        <w:t>determination process should be performed independently. Any potential position qualification issues discovered (for example, U.S. Citizenship status) should be returned to the agency’s recruitment team and resolved prior to completing the screening process</w:t>
      </w:r>
      <w:r w:rsidR="0004486B" w:rsidRPr="00EA7341">
        <w:rPr>
          <w:rStyle w:val="normaltextrun"/>
          <w:rFonts w:ascii="Source Serif Pro" w:eastAsiaTheme="majorEastAsia" w:hAnsi="Source Serif Pro" w:cs="Segoe UI"/>
          <w:sz w:val="22"/>
          <w:szCs w:val="22"/>
        </w:rPr>
        <w:t xml:space="preserve"> except that when the qualification concern may be resulting from a material, intentional false statement, or deception or fraud, in examination or appointment, the agency will need to assess if the matter should be referred, in accordance with the guidance in this Manual. For example, if the individual is determined to be unqualified because their SF 50 contains altered information, this may warrant referral to OPM.</w:t>
      </w:r>
    </w:p>
    <w:p w14:paraId="39489C48" w14:textId="140AAF29" w:rsidR="00F31233" w:rsidRPr="005E7F61" w:rsidRDefault="00F31233" w:rsidP="005E7F61">
      <w:pPr>
        <w:pStyle w:val="Heading2"/>
        <w:rPr>
          <w:rFonts w:ascii="CG Times" w:eastAsia="Times New Roman" w:hAnsi="CG Times" w:cs="Arial"/>
          <w:spacing w:val="0"/>
          <w:sz w:val="32"/>
          <w:szCs w:val="32"/>
        </w:rPr>
      </w:pPr>
      <w:bookmarkStart w:id="114" w:name="_Toc187052981"/>
      <w:bookmarkStart w:id="115" w:name="_Toc187924161"/>
      <w:r w:rsidRPr="548D0660">
        <w:rPr>
          <w:rStyle w:val="normaltextrun"/>
          <w:shd w:val="clear" w:color="auto" w:fill="FFFFFF"/>
        </w:rPr>
        <w:t>4.2 – Criminal History Information</w:t>
      </w:r>
      <w:bookmarkEnd w:id="114"/>
      <w:bookmarkEnd w:id="115"/>
    </w:p>
    <w:p w14:paraId="1EBBBAA7" w14:textId="6B30F7EF" w:rsidR="00F31233" w:rsidRPr="00EA7341" w:rsidRDefault="00315F6D" w:rsidP="002E1CCB">
      <w:pPr>
        <w:widowControl w:val="0"/>
        <w:spacing w:after="0"/>
        <w:rPr>
          <w:rFonts w:eastAsia="Times New Roman" w:cs="Arial"/>
          <w:spacing w:val="0"/>
        </w:rPr>
      </w:pPr>
      <w:r w:rsidRPr="00EA7341">
        <w:rPr>
          <w:rFonts w:eastAsia="Times New Roman" w:cs="Arial"/>
          <w:spacing w:val="0"/>
        </w:rPr>
        <w:t>The Fair Chance to Compete for Jobs Act of 2019 (Fair Chance Act), as implemented in title 5 C</w:t>
      </w:r>
      <w:r w:rsidR="009B4CE5">
        <w:rPr>
          <w:rFonts w:eastAsia="Times New Roman" w:cs="Arial"/>
          <w:spacing w:val="0"/>
        </w:rPr>
        <w:t>.</w:t>
      </w:r>
      <w:r w:rsidRPr="00EA7341">
        <w:rPr>
          <w:rFonts w:eastAsia="Times New Roman" w:cs="Arial"/>
          <w:spacing w:val="0"/>
        </w:rPr>
        <w:t>F</w:t>
      </w:r>
      <w:r w:rsidR="009B4CE5">
        <w:rPr>
          <w:rFonts w:eastAsia="Times New Roman" w:cs="Arial"/>
          <w:spacing w:val="0"/>
        </w:rPr>
        <w:t>.</w:t>
      </w:r>
      <w:r w:rsidRPr="00EA7341">
        <w:rPr>
          <w:rFonts w:eastAsia="Times New Roman" w:cs="Arial"/>
          <w:spacing w:val="0"/>
        </w:rPr>
        <w:t>R</w:t>
      </w:r>
      <w:r w:rsidR="009B4CE5">
        <w:rPr>
          <w:rFonts w:eastAsia="Times New Roman" w:cs="Arial"/>
          <w:spacing w:val="0"/>
        </w:rPr>
        <w:t>.</w:t>
      </w:r>
      <w:r w:rsidRPr="00EA7341">
        <w:rPr>
          <w:rFonts w:eastAsia="Times New Roman" w:cs="Arial"/>
          <w:spacing w:val="0"/>
        </w:rPr>
        <w:t xml:space="preserve"> </w:t>
      </w:r>
      <w:r w:rsidR="3B9DC7E3" w:rsidRPr="548D0660">
        <w:rPr>
          <w:rFonts w:eastAsia="Times New Roman" w:cs="Times New Roman"/>
          <w:color w:val="000000" w:themeColor="text1"/>
        </w:rPr>
        <w:t xml:space="preserve">§ </w:t>
      </w:r>
      <w:r w:rsidRPr="00EA7341">
        <w:rPr>
          <w:rFonts w:eastAsia="Times New Roman" w:cs="Arial"/>
          <w:spacing w:val="0"/>
        </w:rPr>
        <w:t>920</w:t>
      </w:r>
      <w:r w:rsidR="0004486B" w:rsidRPr="00EA7341">
        <w:rPr>
          <w:rFonts w:eastAsia="Times New Roman" w:cs="Arial"/>
          <w:spacing w:val="0"/>
        </w:rPr>
        <w:t xml:space="preserve"> and supplemental OPM guidance (see </w:t>
      </w:r>
      <w:hyperlink r:id="rId27" w:history="1">
        <w:r w:rsidR="00F31233" w:rsidRPr="00EA7341">
          <w:rPr>
            <w:rStyle w:val="Hyperlink"/>
            <w:rFonts w:eastAsia="Times New Roman" w:cs="Arial"/>
            <w:spacing w:val="0"/>
          </w:rPr>
          <w:t>Issuance of Regulations on the Fair Chance to Compete for Jobs Act of 2019: Guidance on Restrictions on Preemployment Criminal History Inquiries</w:t>
        </w:r>
      </w:hyperlink>
      <w:r w:rsidR="00F31233" w:rsidRPr="00EA7341">
        <w:rPr>
          <w:rFonts w:eastAsia="Times New Roman" w:cs="Arial"/>
          <w:spacing w:val="0"/>
        </w:rPr>
        <w:t xml:space="preserve"> and </w:t>
      </w:r>
      <w:hyperlink r:id="rId28" w:history="1">
        <w:r w:rsidR="00F31233" w:rsidRPr="00EA7341">
          <w:rPr>
            <w:rStyle w:val="Hyperlink"/>
            <w:rFonts w:eastAsia="Times New Roman" w:cs="Arial"/>
            <w:spacing w:val="0"/>
          </w:rPr>
          <w:t>Issuance of Regulations on the Fair Chance to Compete for Jobs Act of 2019</w:t>
        </w:r>
      </w:hyperlink>
      <w:r w:rsidR="0004486B" w:rsidRPr="00EA7341">
        <w:rPr>
          <w:rFonts w:eastAsia="Times New Roman" w:cs="Arial"/>
          <w:spacing w:val="0"/>
        </w:rPr>
        <w:t>)</w:t>
      </w:r>
      <w:r w:rsidRPr="00EA7341">
        <w:rPr>
          <w:rFonts w:eastAsia="Times New Roman" w:cs="Arial"/>
          <w:spacing w:val="0"/>
        </w:rPr>
        <w:t>, prohibits, with certain exceptions, the collection of criminal history information prior to conditional job offer. Further, 5 C</w:t>
      </w:r>
      <w:r w:rsidR="009B4CE5">
        <w:rPr>
          <w:rFonts w:eastAsia="Times New Roman" w:cs="Arial"/>
          <w:spacing w:val="0"/>
        </w:rPr>
        <w:t>.</w:t>
      </w:r>
      <w:r w:rsidRPr="00EA7341">
        <w:rPr>
          <w:rFonts w:eastAsia="Times New Roman" w:cs="Arial"/>
          <w:spacing w:val="0"/>
        </w:rPr>
        <w:t>F</w:t>
      </w:r>
      <w:r w:rsidR="009B4CE5">
        <w:rPr>
          <w:rFonts w:eastAsia="Times New Roman" w:cs="Arial"/>
          <w:spacing w:val="0"/>
        </w:rPr>
        <w:t>.</w:t>
      </w:r>
      <w:r w:rsidRPr="00EA7341">
        <w:rPr>
          <w:rFonts w:eastAsia="Times New Roman" w:cs="Arial"/>
          <w:spacing w:val="0"/>
        </w:rPr>
        <w:t>R</w:t>
      </w:r>
      <w:r w:rsidR="009B4CE5">
        <w:rPr>
          <w:rFonts w:eastAsia="Times New Roman" w:cs="Arial"/>
          <w:spacing w:val="0"/>
        </w:rPr>
        <w:t>.</w:t>
      </w:r>
      <w:r w:rsidRPr="002E1CCB">
        <w:rPr>
          <w:rFonts w:eastAsia="Times New Roman" w:cs="Arial"/>
          <w:spacing w:val="0"/>
        </w:rPr>
        <w:t xml:space="preserve"> </w:t>
      </w:r>
      <w:r w:rsidR="586797B0" w:rsidRPr="548D0660">
        <w:rPr>
          <w:rFonts w:eastAsia="Times New Roman" w:cs="Times New Roman"/>
          <w:color w:val="000000" w:themeColor="text1"/>
        </w:rPr>
        <w:t>§</w:t>
      </w:r>
      <w:r w:rsidRPr="548D0660">
        <w:rPr>
          <w:rFonts w:eastAsia="Times New Roman" w:cs="Times New Roman"/>
          <w:color w:val="000000" w:themeColor="text1"/>
        </w:rPr>
        <w:t xml:space="preserve"> </w:t>
      </w:r>
      <w:r w:rsidRPr="00EA7341">
        <w:rPr>
          <w:rFonts w:eastAsia="Times New Roman" w:cs="Arial"/>
          <w:spacing w:val="0"/>
        </w:rPr>
        <w:t>731.106(c)(</w:t>
      </w:r>
      <w:r w:rsidRPr="548D0660">
        <w:rPr>
          <w:rFonts w:eastAsia="Times New Roman" w:cs="Arial"/>
        </w:rPr>
        <w:t>3)&amp;</w:t>
      </w:r>
      <w:r w:rsidRPr="00EA7341">
        <w:rPr>
          <w:rFonts w:eastAsia="Times New Roman" w:cs="Arial"/>
          <w:spacing w:val="0"/>
        </w:rPr>
        <w:t>(g) also specifies that inquiries into an applicant’s credit background cannot be made prior to a conditional offer of employment. However, agencies may collect other types of information such as employment, selective service registration, etc.</w:t>
      </w:r>
      <w:r w:rsidR="0092703C" w:rsidRPr="548D0660">
        <w:rPr>
          <w:rFonts w:eastAsia="Times New Roman" w:cs="Arial"/>
        </w:rPr>
        <w:t>,</w:t>
      </w:r>
      <w:r w:rsidRPr="00EA7341">
        <w:rPr>
          <w:rFonts w:eastAsia="Times New Roman" w:cs="Arial"/>
          <w:spacing w:val="0"/>
        </w:rPr>
        <w:t xml:space="preserve"> sooner. Often, this information is collected via the Optional Form (OF) 306 or other application/vetting forms. </w:t>
      </w:r>
    </w:p>
    <w:p w14:paraId="15F980FD" w14:textId="77777777" w:rsidR="00F31233" w:rsidRPr="002E1CCB" w:rsidRDefault="00F31233" w:rsidP="002E1CCB">
      <w:pPr>
        <w:widowControl w:val="0"/>
        <w:spacing w:after="0"/>
        <w:rPr>
          <w:rFonts w:eastAsia="Times New Roman" w:cs="Arial"/>
          <w:spacing w:val="0"/>
          <w:sz w:val="23"/>
          <w:szCs w:val="20"/>
        </w:rPr>
      </w:pPr>
    </w:p>
    <w:p w14:paraId="39BBCBC3" w14:textId="22F46CAA" w:rsidR="00315F6D" w:rsidRPr="002E1CCB" w:rsidRDefault="00315F6D" w:rsidP="002E1CCB">
      <w:pPr>
        <w:widowControl w:val="0"/>
        <w:spacing w:after="0"/>
        <w:rPr>
          <w:rFonts w:eastAsia="Times New Roman" w:cs="Arial"/>
          <w:spacing w:val="0"/>
          <w:sz w:val="23"/>
          <w:szCs w:val="20"/>
        </w:rPr>
      </w:pPr>
      <w:r w:rsidRPr="002E1CCB">
        <w:rPr>
          <w:rFonts w:eastAsia="Times New Roman" w:cs="Arial"/>
          <w:spacing w:val="0"/>
          <w:sz w:val="23"/>
          <w:szCs w:val="20"/>
        </w:rPr>
        <w:t xml:space="preserve"> </w:t>
      </w:r>
    </w:p>
    <w:p w14:paraId="1FD62B7A" w14:textId="1565ABC8" w:rsidR="00F31233" w:rsidRDefault="00F31233" w:rsidP="005B6DE9">
      <w:pPr>
        <w:pStyle w:val="Heading2"/>
        <w:rPr>
          <w:rStyle w:val="normaltextrun"/>
          <w:b w:val="0"/>
          <w:shd w:val="clear" w:color="auto" w:fill="FFFFFF"/>
        </w:rPr>
      </w:pPr>
      <w:bookmarkStart w:id="116" w:name="_Toc187052982"/>
      <w:bookmarkStart w:id="117" w:name="_Toc187924162"/>
      <w:r w:rsidRPr="548D0660">
        <w:rPr>
          <w:rStyle w:val="normaltextrun"/>
          <w:shd w:val="clear" w:color="auto" w:fill="FFFFFF"/>
        </w:rPr>
        <w:lastRenderedPageBreak/>
        <w:t>4.3 – Credit History</w:t>
      </w:r>
      <w:bookmarkEnd w:id="116"/>
      <w:bookmarkEnd w:id="117"/>
    </w:p>
    <w:p w14:paraId="399A9632" w14:textId="28B7A1D0" w:rsidR="00315F6D" w:rsidRPr="00E310E9" w:rsidRDefault="00241A79" w:rsidP="002E1CCB">
      <w:pPr>
        <w:spacing w:after="0"/>
        <w:rPr>
          <w:rFonts w:eastAsia="Times New Roman" w:cs="Arial"/>
          <w:spacing w:val="0"/>
        </w:rPr>
      </w:pPr>
      <w:r w:rsidRPr="00EA7341">
        <w:rPr>
          <w:rFonts w:eastAsia="Times New Roman" w:cs="Arial"/>
          <w:spacing w:val="0"/>
        </w:rPr>
        <w:t>For competitive service or career Senior Executive Service</w:t>
      </w:r>
      <w:r w:rsidR="00357752" w:rsidRPr="00EA7341">
        <w:rPr>
          <w:rFonts w:eastAsia="Times New Roman" w:cs="Arial"/>
          <w:spacing w:val="0"/>
        </w:rPr>
        <w:t xml:space="preserve"> positions</w:t>
      </w:r>
      <w:r w:rsidRPr="00EA7341">
        <w:rPr>
          <w:rFonts w:eastAsia="Times New Roman" w:cs="Arial"/>
          <w:spacing w:val="0"/>
        </w:rPr>
        <w:t>, a hiring agency may not make specific inquiries concerning an applicant’s credit background in oral or written form unless the agency has made a conditional offer of employment or if the agency has an approved exception from OPM. The prohibition for collecting credit history is addressed in 5 C</w:t>
      </w:r>
      <w:r w:rsidR="009B4CE5">
        <w:rPr>
          <w:rFonts w:eastAsia="Times New Roman" w:cs="Arial"/>
          <w:spacing w:val="0"/>
        </w:rPr>
        <w:t>.</w:t>
      </w:r>
      <w:r w:rsidRPr="00EA7341">
        <w:rPr>
          <w:rFonts w:eastAsia="Times New Roman" w:cs="Arial"/>
          <w:spacing w:val="0"/>
        </w:rPr>
        <w:t>F</w:t>
      </w:r>
      <w:r w:rsidR="009B4CE5">
        <w:rPr>
          <w:rFonts w:eastAsia="Times New Roman" w:cs="Arial"/>
          <w:spacing w:val="0"/>
        </w:rPr>
        <w:t>.</w:t>
      </w:r>
      <w:r w:rsidRPr="00EA7341">
        <w:rPr>
          <w:rFonts w:eastAsia="Times New Roman" w:cs="Arial"/>
          <w:spacing w:val="0"/>
        </w:rPr>
        <w:t>R</w:t>
      </w:r>
      <w:r w:rsidR="009B4CE5">
        <w:rPr>
          <w:rFonts w:eastAsia="Times New Roman" w:cs="Arial"/>
          <w:spacing w:val="0"/>
        </w:rPr>
        <w:t>.</w:t>
      </w:r>
      <w:r w:rsidRPr="00EA7341">
        <w:rPr>
          <w:rFonts w:eastAsia="Times New Roman" w:cs="Arial"/>
          <w:spacing w:val="0"/>
        </w:rPr>
        <w:t xml:space="preserve"> </w:t>
      </w:r>
      <w:r w:rsidR="371642A7" w:rsidRPr="548D0660">
        <w:rPr>
          <w:rFonts w:eastAsia="Times New Roman" w:cs="Times New Roman"/>
          <w:color w:val="000000" w:themeColor="text1"/>
        </w:rPr>
        <w:t xml:space="preserve">§ </w:t>
      </w:r>
      <w:r w:rsidRPr="00EA7341">
        <w:rPr>
          <w:rFonts w:eastAsia="Times New Roman" w:cs="Arial"/>
          <w:spacing w:val="0"/>
        </w:rPr>
        <w:t xml:space="preserve">330. </w:t>
      </w:r>
      <w:r w:rsidR="00357752" w:rsidRPr="00EA7341">
        <w:rPr>
          <w:rFonts w:eastAsia="Times New Roman" w:cs="Arial"/>
          <w:spacing w:val="0"/>
        </w:rPr>
        <w:t xml:space="preserve">Agencies may refer to </w:t>
      </w:r>
      <w:hyperlink r:id="rId29" w:history="1">
        <w:r w:rsidR="00357752" w:rsidRPr="00EA7341">
          <w:rPr>
            <w:rStyle w:val="Hyperlink"/>
            <w:rFonts w:eastAsia="Times New Roman" w:cs="Arial"/>
            <w:spacing w:val="0"/>
          </w:rPr>
          <w:t>Guidance on Requests of Exceptions to Timing of Suitability Inquiries Rule</w:t>
        </w:r>
      </w:hyperlink>
      <w:r w:rsidR="00357752" w:rsidRPr="00EA7341">
        <w:rPr>
          <w:rFonts w:eastAsia="Times New Roman" w:cs="Arial"/>
          <w:spacing w:val="0"/>
        </w:rPr>
        <w:t xml:space="preserve"> for more information. </w:t>
      </w:r>
    </w:p>
    <w:p w14:paraId="7117B9C8" w14:textId="002E6526" w:rsidR="00E07671" w:rsidRPr="005E7F61" w:rsidRDefault="00E07671" w:rsidP="005E7F61">
      <w:pPr>
        <w:pStyle w:val="Heading2"/>
        <w:rPr>
          <w:b w:val="0"/>
          <w:shd w:val="clear" w:color="auto" w:fill="FFFFFF"/>
        </w:rPr>
      </w:pPr>
      <w:bookmarkStart w:id="118" w:name="_Toc187052983"/>
      <w:bookmarkStart w:id="119" w:name="_Toc187924163"/>
      <w:r w:rsidRPr="548D0660">
        <w:rPr>
          <w:rStyle w:val="normaltextrun"/>
          <w:shd w:val="clear" w:color="auto" w:fill="FFFFFF"/>
        </w:rPr>
        <w:t xml:space="preserve">4.4 – </w:t>
      </w:r>
      <w:r w:rsidR="00A26CB4" w:rsidRPr="548D0660">
        <w:rPr>
          <w:rStyle w:val="normaltextrun"/>
          <w:shd w:val="clear" w:color="auto" w:fill="FFFFFF"/>
        </w:rPr>
        <w:t>Required Pre-employment Checks</w:t>
      </w:r>
      <w:bookmarkEnd w:id="118"/>
      <w:bookmarkEnd w:id="119"/>
    </w:p>
    <w:p w14:paraId="4ED3F85B" w14:textId="2F8EEAB0" w:rsidR="00781331" w:rsidRPr="002E1CCB" w:rsidRDefault="00E07671" w:rsidP="002E1CCB">
      <w:pPr>
        <w:spacing w:after="0"/>
        <w:rPr>
          <w:rFonts w:eastAsia="Times New Roman" w:cs="Times New Roman"/>
          <w:spacing w:val="0"/>
        </w:rPr>
      </w:pPr>
      <w:r w:rsidRPr="002E1CCB">
        <w:rPr>
          <w:rFonts w:eastAsia="Times New Roman" w:cs="Times New Roman"/>
          <w:spacing w:val="0"/>
        </w:rPr>
        <w:t xml:space="preserve">Additionally, agencies may be required </w:t>
      </w:r>
      <w:r w:rsidR="005D395A">
        <w:rPr>
          <w:rFonts w:eastAsia="Times New Roman" w:cs="Times New Roman"/>
          <w:spacing w:val="0"/>
        </w:rPr>
        <w:t xml:space="preserve">by </w:t>
      </w:r>
      <w:r w:rsidRPr="002E1CCB">
        <w:rPr>
          <w:rFonts w:eastAsia="Times New Roman" w:cs="Times New Roman"/>
          <w:spacing w:val="0"/>
        </w:rPr>
        <w:t xml:space="preserve">Executive Order, law, or regulations to conduct certain pre-employment checks such as a check of the National Law Enforcement Database for law enforcement positions. The results of pre-employment checks could prompt the agency to consider impact on suitability or fitness. </w:t>
      </w:r>
    </w:p>
    <w:p w14:paraId="41CA53F8" w14:textId="76F34212" w:rsidR="00960C35" w:rsidRPr="00756FFB" w:rsidRDefault="00756FFB" w:rsidP="005B6DE9">
      <w:pPr>
        <w:pStyle w:val="Heading2"/>
        <w:rPr>
          <w:shd w:val="clear" w:color="auto" w:fill="FFFFFF"/>
        </w:rPr>
      </w:pPr>
      <w:bookmarkStart w:id="120" w:name="_Toc187052984"/>
      <w:bookmarkStart w:id="121" w:name="_Toc187924164"/>
      <w:r w:rsidRPr="548D0660">
        <w:rPr>
          <w:rStyle w:val="normaltextrun"/>
          <w:shd w:val="clear" w:color="auto" w:fill="FFFFFF"/>
        </w:rPr>
        <w:t>4.</w:t>
      </w:r>
      <w:r w:rsidR="00E07671" w:rsidRPr="548D0660">
        <w:rPr>
          <w:rStyle w:val="normaltextrun"/>
          <w:shd w:val="clear" w:color="auto" w:fill="FFFFFF"/>
        </w:rPr>
        <w:t>5</w:t>
      </w:r>
      <w:r w:rsidRPr="548D0660">
        <w:rPr>
          <w:rStyle w:val="normaltextrun"/>
          <w:shd w:val="clear" w:color="auto" w:fill="FFFFFF"/>
        </w:rPr>
        <w:t xml:space="preserve"> – Screening Process</w:t>
      </w:r>
      <w:bookmarkEnd w:id="120"/>
      <w:bookmarkEnd w:id="121"/>
    </w:p>
    <w:p w14:paraId="0A041B34" w14:textId="4EDF5F1F" w:rsidR="00960C35" w:rsidRPr="005C1F8F" w:rsidRDefault="00960C35" w:rsidP="000E0617">
      <w:pPr>
        <w:spacing w:after="120"/>
        <w:rPr>
          <w:rFonts w:eastAsia="Times New Roman" w:cs="Times New Roman"/>
          <w:spacing w:val="0"/>
        </w:rPr>
      </w:pPr>
      <w:r w:rsidRPr="005C1F8F">
        <w:rPr>
          <w:rFonts w:eastAsia="Times New Roman" w:cs="Times New Roman"/>
          <w:spacing w:val="0"/>
        </w:rPr>
        <w:t>Agenc</w:t>
      </w:r>
      <w:r w:rsidR="00E07671" w:rsidRPr="005C1F8F">
        <w:rPr>
          <w:rFonts w:eastAsia="Times New Roman" w:cs="Times New Roman"/>
          <w:spacing w:val="0"/>
        </w:rPr>
        <w:t>ies</w:t>
      </w:r>
      <w:r w:rsidRPr="005C1F8F">
        <w:rPr>
          <w:rFonts w:eastAsia="Times New Roman" w:cs="Times New Roman"/>
          <w:spacing w:val="0"/>
        </w:rPr>
        <w:t xml:space="preserve"> </w:t>
      </w:r>
      <w:r w:rsidR="00756FFB" w:rsidRPr="005C1F8F">
        <w:rPr>
          <w:rFonts w:eastAsia="Times New Roman" w:cs="Times New Roman"/>
          <w:spacing w:val="0"/>
        </w:rPr>
        <w:t>determine which office</w:t>
      </w:r>
      <w:r w:rsidR="00E07671" w:rsidRPr="005C1F8F">
        <w:rPr>
          <w:rFonts w:eastAsia="Times New Roman" w:cs="Times New Roman"/>
          <w:spacing w:val="0"/>
        </w:rPr>
        <w:t xml:space="preserve"> within the agency</w:t>
      </w:r>
      <w:r w:rsidR="00756FFB" w:rsidRPr="005C1F8F">
        <w:rPr>
          <w:rFonts w:eastAsia="Times New Roman" w:cs="Times New Roman"/>
          <w:spacing w:val="0"/>
        </w:rPr>
        <w:t xml:space="preserve"> is responsible for conducting screening. H</w:t>
      </w:r>
      <w:r w:rsidRPr="005C1F8F">
        <w:rPr>
          <w:rFonts w:eastAsia="Times New Roman" w:cs="Times New Roman"/>
          <w:spacing w:val="0"/>
        </w:rPr>
        <w:t xml:space="preserve">owever, for the purpose of screening the information to determine if it is of suitability concern, individuals performing that function must be properly trained </w:t>
      </w:r>
      <w:r w:rsidR="00756FFB" w:rsidRPr="005C1F8F">
        <w:rPr>
          <w:rFonts w:eastAsia="Times New Roman" w:cs="Times New Roman"/>
          <w:spacing w:val="0"/>
        </w:rPr>
        <w:t>in accordance with the National Training Standards for Suitability Adjudicators.</w:t>
      </w:r>
      <w:r w:rsidRPr="005C1F8F">
        <w:rPr>
          <w:rFonts w:eastAsia="Times New Roman" w:cs="Times New Roman"/>
          <w:spacing w:val="0"/>
        </w:rPr>
        <w:t xml:space="preserve"> Agencies must document their standard operating procedures (SOP) on how they will conduct the suitability screening process and the SOP or equivalent document must be made available to OPM in the event of an assessment. </w:t>
      </w:r>
    </w:p>
    <w:p w14:paraId="5A943FA7" w14:textId="54A5F0D8" w:rsidR="00960C35" w:rsidRPr="005C1F8F" w:rsidRDefault="00960C35" w:rsidP="000B6ADA">
      <w:pPr>
        <w:spacing w:after="60"/>
        <w:rPr>
          <w:rFonts w:eastAsia="Times New Roman" w:cs="Times New Roman"/>
          <w:spacing w:val="0"/>
        </w:rPr>
      </w:pPr>
      <w:r w:rsidRPr="005C1F8F">
        <w:rPr>
          <w:rFonts w:eastAsia="Times New Roman" w:cs="Times New Roman"/>
          <w:spacing w:val="0"/>
        </w:rPr>
        <w:t>Because agencies may ask applicants about Selective Service registration, military service, citizenship status, or previous work history prior to making a conditional offer, the agency will need to determine the manner in which it wishes to collect that information. For example, if the agency wants to use the OF 306 to collect information that is allowed to be sought prior to conditional offer, it could do so with redactions of the prohibited questions regarding criminal and credit background. Should this occur, the agency must maintain that version of the OF 306, and if the individual is later given a conditional job offer, it should be incorporated with other documents collected from the individual. At the point of conditional job offer, the individual should be asked to complete an OF 306 in its entirety and to sign it on the applicant line. Agencies must remember the following about collection of the OF 306:</w:t>
      </w:r>
    </w:p>
    <w:p w14:paraId="045AD87E" w14:textId="5B3A2656" w:rsidR="00960C35" w:rsidRPr="005C1F8F" w:rsidRDefault="00960C35" w:rsidP="002E1CCB">
      <w:pPr>
        <w:numPr>
          <w:ilvl w:val="0"/>
          <w:numId w:val="50"/>
        </w:numPr>
        <w:spacing w:after="0"/>
        <w:rPr>
          <w:rFonts w:eastAsia="Calibri" w:cs="Times New Roman"/>
          <w:spacing w:val="0"/>
        </w:rPr>
      </w:pPr>
      <w:r w:rsidRPr="005C1F8F">
        <w:rPr>
          <w:rFonts w:eastAsia="Calibri" w:cs="Times New Roman"/>
          <w:spacing w:val="0"/>
        </w:rPr>
        <w:t xml:space="preserve">While an agency is not required to solicit the OF 306 itself, the questions posed on the form must be answered by the individual to whom a conditional offer has been extended prior to appointment. </w:t>
      </w:r>
    </w:p>
    <w:p w14:paraId="2C2FFFB0" w14:textId="77777777" w:rsidR="00960C35" w:rsidRPr="005C1F8F" w:rsidRDefault="00960C35" w:rsidP="002E1CCB">
      <w:pPr>
        <w:numPr>
          <w:ilvl w:val="0"/>
          <w:numId w:val="50"/>
        </w:numPr>
        <w:spacing w:after="0"/>
        <w:rPr>
          <w:rFonts w:eastAsia="Calibri" w:cs="Times New Roman"/>
          <w:spacing w:val="0"/>
        </w:rPr>
      </w:pPr>
      <w:r w:rsidRPr="005C1F8F">
        <w:rPr>
          <w:rFonts w:eastAsia="Calibri" w:cs="Times New Roman"/>
          <w:spacing w:val="0"/>
        </w:rPr>
        <w:t>A person is required to complete the OF 306 in its entirety on two separate occasions: a first time after a conditional offer of employment has been made (for suitability screening purposes) and a second time on the date of appointment (as declaration that either there have been no changes to the information on the form or to provide any changes that occurred since the first completion of the form).</w:t>
      </w:r>
    </w:p>
    <w:p w14:paraId="4870D954" w14:textId="7FBD4819" w:rsidR="00960C35" w:rsidRPr="005C1F8F" w:rsidRDefault="00960C35" w:rsidP="002E1CCB">
      <w:pPr>
        <w:numPr>
          <w:ilvl w:val="0"/>
          <w:numId w:val="50"/>
        </w:numPr>
        <w:spacing w:after="0"/>
        <w:rPr>
          <w:rFonts w:eastAsia="Calibri" w:cs="Times New Roman"/>
          <w:spacing w:val="0"/>
        </w:rPr>
      </w:pPr>
      <w:r w:rsidRPr="005C1F8F">
        <w:rPr>
          <w:rFonts w:eastAsia="Calibri" w:cs="Times New Roman"/>
          <w:spacing w:val="0"/>
        </w:rPr>
        <w:lastRenderedPageBreak/>
        <w:t>When the individual signs the OF 306, the individual completes a certification that all attachments, including the application, are correct. When the OF 306 is completed a second time at the time of appointment, the appointee updates the form and certifies it on the Appointee line. This certification extends to all attachments, including the application.</w:t>
      </w:r>
    </w:p>
    <w:p w14:paraId="2C4E55EA" w14:textId="77777777" w:rsidR="00960C35" w:rsidRPr="005C1F8F" w:rsidRDefault="00960C35" w:rsidP="002E1CCB">
      <w:pPr>
        <w:numPr>
          <w:ilvl w:val="0"/>
          <w:numId w:val="50"/>
        </w:numPr>
        <w:spacing w:after="0"/>
        <w:rPr>
          <w:rFonts w:eastAsia="Calibri" w:cs="Arial"/>
          <w:spacing w:val="0"/>
        </w:rPr>
      </w:pPr>
      <w:r w:rsidRPr="005C1F8F">
        <w:rPr>
          <w:rFonts w:eastAsia="Calibri" w:cs="Arial"/>
          <w:spacing w:val="0"/>
        </w:rPr>
        <w:t>Any changes to an OF 306 that was previously completed and certified must be initialed and dated by the individual.</w:t>
      </w:r>
    </w:p>
    <w:p w14:paraId="79A8F212" w14:textId="77777777" w:rsidR="00756FFB" w:rsidRPr="005C1F8F" w:rsidRDefault="00756FFB" w:rsidP="002E1CCB">
      <w:pPr>
        <w:spacing w:after="0"/>
        <w:ind w:left="720"/>
        <w:rPr>
          <w:rFonts w:eastAsia="Calibri" w:cs="Arial"/>
          <w:spacing w:val="0"/>
        </w:rPr>
      </w:pPr>
    </w:p>
    <w:p w14:paraId="5442C926" w14:textId="2B2566B4" w:rsidR="00960C35" w:rsidRPr="005C1F8F" w:rsidRDefault="00960C35" w:rsidP="002E1CCB">
      <w:pPr>
        <w:spacing w:after="0"/>
        <w:rPr>
          <w:rFonts w:eastAsia="Times New Roman" w:cs="Times New Roman"/>
          <w:spacing w:val="0"/>
        </w:rPr>
      </w:pPr>
      <w:r w:rsidRPr="005C1F8F">
        <w:rPr>
          <w:rFonts w:eastAsia="Times New Roman" w:cs="Times New Roman"/>
          <w:spacing w:val="0"/>
        </w:rPr>
        <w:t xml:space="preserve">Once the OF 306 or equivalent form has been properly requested from the individual and returned, the suitability screening process can be initiated. </w:t>
      </w:r>
      <w:r w:rsidR="00756FFB" w:rsidRPr="005C1F8F">
        <w:rPr>
          <w:rFonts w:eastAsia="Times New Roman" w:cs="Times New Roman"/>
          <w:spacing w:val="0"/>
        </w:rPr>
        <w:t>If a conditional job offer has been accepted, a</w:t>
      </w:r>
      <w:r w:rsidRPr="005C1F8F">
        <w:rPr>
          <w:rFonts w:eastAsia="Times New Roman" w:cs="Times New Roman"/>
          <w:spacing w:val="0"/>
        </w:rPr>
        <w:t xml:space="preserve">gencies may wish to proceed with validating need </w:t>
      </w:r>
      <w:r w:rsidR="00756FFB" w:rsidRPr="005C1F8F">
        <w:rPr>
          <w:rFonts w:eastAsia="Times New Roman" w:cs="Times New Roman"/>
          <w:spacing w:val="0"/>
        </w:rPr>
        <w:t xml:space="preserve">for vetting, as covered in Volume 1 of this Manual, </w:t>
      </w:r>
      <w:r w:rsidRPr="005C1F8F">
        <w:rPr>
          <w:rFonts w:eastAsia="Times New Roman" w:cs="Times New Roman"/>
          <w:spacing w:val="0"/>
        </w:rPr>
        <w:t>to determine if an investigation is required. The basis for doing so at this point is that if it is determined an investigation will be needed should the individual clear screening, the agency may elect to initiate the individual in e</w:t>
      </w:r>
      <w:r w:rsidR="00756FFB" w:rsidRPr="005C1F8F">
        <w:rPr>
          <w:rFonts w:eastAsia="Times New Roman" w:cs="Times New Roman"/>
          <w:spacing w:val="0"/>
        </w:rPr>
        <w:t>App</w:t>
      </w:r>
      <w:r w:rsidRPr="005C1F8F">
        <w:rPr>
          <w:rFonts w:eastAsia="Times New Roman" w:cs="Times New Roman"/>
          <w:spacing w:val="0"/>
        </w:rPr>
        <w:t xml:space="preserve">. Once completed, this will allow the agency to review the completed investigative form along with the OF 306 and other documentation collected. </w:t>
      </w:r>
    </w:p>
    <w:p w14:paraId="212B9A29" w14:textId="77777777" w:rsidR="00960C35" w:rsidRPr="005C1F8F" w:rsidRDefault="00960C35" w:rsidP="002E1CCB">
      <w:pPr>
        <w:spacing w:after="0"/>
        <w:rPr>
          <w:rFonts w:eastAsia="Times New Roman" w:cs="Times New Roman"/>
          <w:spacing w:val="0"/>
        </w:rPr>
      </w:pPr>
    </w:p>
    <w:p w14:paraId="63DC7789" w14:textId="68C24529" w:rsidR="00960C35" w:rsidRPr="005C1F8F" w:rsidRDefault="00960C35" w:rsidP="002E1CCB">
      <w:pPr>
        <w:spacing w:after="0"/>
        <w:rPr>
          <w:rFonts w:eastAsia="Times New Roman" w:cs="Times New Roman"/>
          <w:spacing w:val="0"/>
        </w:rPr>
      </w:pPr>
      <w:r w:rsidRPr="005C1F8F">
        <w:rPr>
          <w:rFonts w:eastAsia="Times New Roman" w:cs="Times New Roman"/>
          <w:spacing w:val="0"/>
        </w:rPr>
        <w:t>There are three possible outcomes from the screening process. The processes behind each of these options are further described later in this Volume:</w:t>
      </w:r>
      <w:r w:rsidR="000A6A7C">
        <w:rPr>
          <w:rFonts w:eastAsia="Times New Roman" w:cs="Times New Roman"/>
          <w:spacing w:val="0"/>
        </w:rPr>
        <w:br/>
      </w:r>
    </w:p>
    <w:p w14:paraId="1BE2C094" w14:textId="157E82D8" w:rsidR="00960C35" w:rsidRPr="005C1F8F" w:rsidRDefault="00960C35" w:rsidP="002E1CCB">
      <w:pPr>
        <w:numPr>
          <w:ilvl w:val="0"/>
          <w:numId w:val="50"/>
        </w:numPr>
        <w:spacing w:after="0"/>
        <w:rPr>
          <w:rFonts w:eastAsia="Calibri" w:cs="Times New Roman"/>
          <w:spacing w:val="0"/>
        </w:rPr>
      </w:pPr>
      <w:r w:rsidRPr="005C1F8F">
        <w:rPr>
          <w:rFonts w:eastAsia="Calibri" w:cs="Times New Roman"/>
          <w:b/>
          <w:spacing w:val="0"/>
        </w:rPr>
        <w:t xml:space="preserve">No issues of suitability </w:t>
      </w:r>
      <w:r w:rsidR="00E07671" w:rsidRPr="005C1F8F">
        <w:rPr>
          <w:rFonts w:eastAsia="Calibri" w:cs="Times New Roman"/>
          <w:b/>
          <w:spacing w:val="0"/>
        </w:rPr>
        <w:t xml:space="preserve">or fitness </w:t>
      </w:r>
      <w:r w:rsidRPr="005C1F8F">
        <w:rPr>
          <w:rFonts w:eastAsia="Calibri" w:cs="Times New Roman"/>
          <w:b/>
          <w:spacing w:val="0"/>
        </w:rPr>
        <w:t>concern are identified.</w:t>
      </w:r>
      <w:r w:rsidRPr="005C1F8F">
        <w:rPr>
          <w:rFonts w:eastAsia="Calibri" w:cs="Times New Roman"/>
          <w:spacing w:val="0"/>
        </w:rPr>
        <w:t xml:space="preserve"> The agency will proceed with initiating the required level of investigation, if needed, assessing whether prior adjudications are subject to reciprocity, if applicable; and/or begin the process of granting</w:t>
      </w:r>
      <w:r w:rsidR="00E07671" w:rsidRPr="005C1F8F">
        <w:rPr>
          <w:rFonts w:eastAsia="Calibri" w:cs="Times New Roman"/>
          <w:spacing w:val="0"/>
        </w:rPr>
        <w:t xml:space="preserve"> an interim</w:t>
      </w:r>
      <w:r w:rsidRPr="005C1F8F">
        <w:rPr>
          <w:rFonts w:eastAsia="Calibri" w:cs="Times New Roman"/>
          <w:spacing w:val="0"/>
        </w:rPr>
        <w:t xml:space="preserve"> </w:t>
      </w:r>
      <w:r w:rsidR="00E07671" w:rsidRPr="005C1F8F">
        <w:rPr>
          <w:rFonts w:eastAsia="Calibri" w:cs="Times New Roman"/>
          <w:spacing w:val="0"/>
        </w:rPr>
        <w:t xml:space="preserve">personal identity verification </w:t>
      </w:r>
      <w:r w:rsidRPr="005C1F8F">
        <w:rPr>
          <w:rFonts w:eastAsia="Calibri" w:cs="Times New Roman"/>
          <w:spacing w:val="0"/>
        </w:rPr>
        <w:t>credential. For agencies with an exception to collect the OF 306 prior to a conditional job offer, the individual will move to the next point in the hiring process.</w:t>
      </w:r>
    </w:p>
    <w:p w14:paraId="6502A044" w14:textId="4D1BD55F" w:rsidR="00960C35" w:rsidRPr="005C1F8F" w:rsidRDefault="00960C35" w:rsidP="002E1CCB">
      <w:pPr>
        <w:numPr>
          <w:ilvl w:val="0"/>
          <w:numId w:val="50"/>
        </w:numPr>
        <w:spacing w:after="0"/>
        <w:rPr>
          <w:rFonts w:eastAsia="Calibri" w:cs="Times New Roman"/>
          <w:spacing w:val="0"/>
        </w:rPr>
      </w:pPr>
      <w:r w:rsidRPr="005C1F8F">
        <w:rPr>
          <w:rFonts w:eastAsia="Calibri" w:cs="Times New Roman"/>
          <w:b/>
          <w:spacing w:val="0"/>
        </w:rPr>
        <w:t>A potentially actionable suitability</w:t>
      </w:r>
      <w:r w:rsidR="00E07671" w:rsidRPr="005C1F8F">
        <w:rPr>
          <w:rFonts w:eastAsia="Calibri" w:cs="Times New Roman"/>
          <w:b/>
          <w:spacing w:val="0"/>
        </w:rPr>
        <w:t xml:space="preserve"> or fitness</w:t>
      </w:r>
      <w:r w:rsidRPr="005C1F8F">
        <w:rPr>
          <w:rFonts w:eastAsia="Calibri" w:cs="Times New Roman"/>
          <w:b/>
          <w:spacing w:val="0"/>
        </w:rPr>
        <w:t xml:space="preserve"> issue(s) is present. </w:t>
      </w:r>
      <w:r w:rsidRPr="005C1F8F">
        <w:rPr>
          <w:rFonts w:eastAsia="Calibri" w:cs="Times New Roman"/>
          <w:spacing w:val="0"/>
        </w:rPr>
        <w:t>In this situation, it is likely more information will be needed to determine if suitability action procedures will be initiated</w:t>
      </w:r>
      <w:r w:rsidR="00E07671" w:rsidRPr="005C1F8F">
        <w:rPr>
          <w:rFonts w:eastAsia="Calibri" w:cs="Times New Roman"/>
          <w:spacing w:val="0"/>
        </w:rPr>
        <w:t xml:space="preserve"> for a position in the competitive service or career Senior Executive Service</w:t>
      </w:r>
      <w:r w:rsidRPr="005C1F8F">
        <w:rPr>
          <w:rFonts w:eastAsia="Calibri" w:cs="Times New Roman"/>
          <w:spacing w:val="0"/>
        </w:rPr>
        <w:t>. The agency will likely need to obtain additional information about the issue, such as by contacting the applicant, in order to resolve the issues and/or support a</w:t>
      </w:r>
      <w:r w:rsidR="00E07671" w:rsidRPr="005C1F8F">
        <w:rPr>
          <w:rFonts w:eastAsia="Calibri" w:cs="Times New Roman"/>
          <w:spacing w:val="0"/>
        </w:rPr>
        <w:t>n unfavorable</w:t>
      </w:r>
      <w:r w:rsidRPr="005C1F8F">
        <w:rPr>
          <w:rFonts w:eastAsia="Calibri" w:cs="Times New Roman"/>
          <w:spacing w:val="0"/>
        </w:rPr>
        <w:t xml:space="preserve"> suitabilit</w:t>
      </w:r>
      <w:r w:rsidR="00E07671" w:rsidRPr="005C1F8F">
        <w:rPr>
          <w:rFonts w:eastAsia="Calibri" w:cs="Times New Roman"/>
          <w:spacing w:val="0"/>
        </w:rPr>
        <w:t xml:space="preserve">y or fitness </w:t>
      </w:r>
      <w:r w:rsidRPr="005C1F8F">
        <w:rPr>
          <w:rFonts w:eastAsia="Calibri" w:cs="Times New Roman"/>
          <w:spacing w:val="0"/>
        </w:rPr>
        <w:t xml:space="preserve">determination or </w:t>
      </w:r>
      <w:r w:rsidR="00E07671" w:rsidRPr="005C1F8F">
        <w:rPr>
          <w:rFonts w:eastAsia="Calibri" w:cs="Times New Roman"/>
          <w:spacing w:val="0"/>
        </w:rPr>
        <w:t xml:space="preserve">suitability </w:t>
      </w:r>
      <w:r w:rsidRPr="005C1F8F">
        <w:rPr>
          <w:rFonts w:eastAsia="Calibri" w:cs="Times New Roman"/>
          <w:spacing w:val="0"/>
        </w:rPr>
        <w:t>action, if warranted.</w:t>
      </w:r>
    </w:p>
    <w:p w14:paraId="30CB3AE1" w14:textId="46676038" w:rsidR="00960C35" w:rsidRPr="005C1F8F" w:rsidRDefault="00960C35" w:rsidP="002E1CCB">
      <w:pPr>
        <w:numPr>
          <w:ilvl w:val="0"/>
          <w:numId w:val="50"/>
        </w:numPr>
        <w:spacing w:after="0"/>
        <w:rPr>
          <w:rFonts w:eastAsia="Calibri" w:cs="Times New Roman"/>
          <w:spacing w:val="0"/>
        </w:rPr>
      </w:pPr>
      <w:r w:rsidRPr="005C1F8F">
        <w:rPr>
          <w:rFonts w:eastAsia="Calibri" w:cs="Times New Roman"/>
          <w:b/>
          <w:spacing w:val="0"/>
        </w:rPr>
        <w:t>The case warrants referral to OPM</w:t>
      </w:r>
      <w:r w:rsidRPr="005C1F8F">
        <w:rPr>
          <w:rFonts w:eastAsia="Calibri" w:cs="Times New Roman"/>
          <w:spacing w:val="0"/>
        </w:rPr>
        <w:t xml:space="preserve">. If there is evidence of material, intentional falsification, or deception or fraud in examination or appointment, or </w:t>
      </w:r>
      <w:r w:rsidR="00E07671" w:rsidRPr="005C1F8F">
        <w:rPr>
          <w:rFonts w:eastAsia="Calibri" w:cs="Times New Roman"/>
          <w:spacing w:val="0"/>
        </w:rPr>
        <w:t xml:space="preserve">other </w:t>
      </w:r>
      <w:r w:rsidRPr="005C1F8F">
        <w:rPr>
          <w:rFonts w:eastAsia="Calibri" w:cs="Times New Roman"/>
          <w:spacing w:val="0"/>
        </w:rPr>
        <w:t xml:space="preserve">conduct that warrants a </w:t>
      </w:r>
      <w:r w:rsidR="00BB21FA">
        <w:rPr>
          <w:rFonts w:eastAsia="Calibri" w:cs="Times New Roman"/>
          <w:spacing w:val="0"/>
        </w:rPr>
        <w:t>g</w:t>
      </w:r>
      <w:r w:rsidRPr="005C1F8F">
        <w:rPr>
          <w:rFonts w:eastAsia="Calibri" w:cs="Times New Roman"/>
          <w:spacing w:val="0"/>
        </w:rPr>
        <w:t>overnment</w:t>
      </w:r>
      <w:r w:rsidR="00BB21FA">
        <w:rPr>
          <w:rFonts w:eastAsia="Calibri" w:cs="Times New Roman"/>
          <w:spacing w:val="0"/>
        </w:rPr>
        <w:t>-</w:t>
      </w:r>
      <w:r w:rsidRPr="005C1F8F">
        <w:rPr>
          <w:rFonts w:eastAsia="Calibri" w:cs="Times New Roman"/>
          <w:spacing w:val="0"/>
        </w:rPr>
        <w:t>wide debarment</w:t>
      </w:r>
      <w:r w:rsidR="00E07671" w:rsidRPr="005C1F8F">
        <w:rPr>
          <w:rFonts w:eastAsia="Calibri" w:cs="Times New Roman"/>
          <w:spacing w:val="0"/>
        </w:rPr>
        <w:t xml:space="preserve">, agencies will follow the process outlined in </w:t>
      </w:r>
      <w:hyperlink w:anchor="_3.8.1_–_Adjudicative" w:history="1">
        <w:r w:rsidR="00E07671" w:rsidRPr="007A154B">
          <w:rPr>
            <w:rStyle w:val="Hyperlink"/>
            <w:rFonts w:eastAsia="Calibri" w:cs="Times New Roman"/>
            <w:spacing w:val="0"/>
          </w:rPr>
          <w:t>Volume 3</w:t>
        </w:r>
      </w:hyperlink>
      <w:r w:rsidR="00E07671" w:rsidRPr="005C1F8F">
        <w:rPr>
          <w:rFonts w:eastAsia="Calibri" w:cs="Times New Roman"/>
          <w:spacing w:val="0"/>
        </w:rPr>
        <w:t xml:space="preserve"> of this Manual</w:t>
      </w:r>
      <w:r w:rsidRPr="005C1F8F">
        <w:rPr>
          <w:rFonts w:eastAsia="Calibri" w:cs="Times New Roman"/>
          <w:spacing w:val="0"/>
        </w:rPr>
        <w:t>.</w:t>
      </w:r>
    </w:p>
    <w:p w14:paraId="5DD5B589" w14:textId="77777777" w:rsidR="00E07671" w:rsidRPr="005C1F8F" w:rsidRDefault="00E07671" w:rsidP="002E1CCB">
      <w:pPr>
        <w:spacing w:after="0"/>
        <w:ind w:left="720"/>
        <w:rPr>
          <w:rFonts w:eastAsia="Calibri" w:cs="Times New Roman"/>
          <w:spacing w:val="0"/>
        </w:rPr>
      </w:pPr>
    </w:p>
    <w:p w14:paraId="7F9E8BF9" w14:textId="134779A4" w:rsidR="00960C35" w:rsidRPr="005C1F8F" w:rsidRDefault="00960C35" w:rsidP="002E1CCB">
      <w:pPr>
        <w:spacing w:after="0"/>
        <w:rPr>
          <w:rFonts w:eastAsia="Times New Roman" w:cs="Times New Roman"/>
          <w:spacing w:val="0"/>
        </w:rPr>
      </w:pPr>
      <w:r w:rsidRPr="005C1F8F">
        <w:rPr>
          <w:rFonts w:eastAsia="Times New Roman" w:cs="Times New Roman"/>
          <w:spacing w:val="0"/>
        </w:rPr>
        <w:t xml:space="preserve">The agency must make sure that the OF 306 and any other information requested is complete. If not, it must be returned to the individual in accordance with agency processing. </w:t>
      </w:r>
    </w:p>
    <w:p w14:paraId="47B8482C" w14:textId="77777777" w:rsidR="00E07671" w:rsidRPr="005C1F8F" w:rsidRDefault="00E07671" w:rsidP="002E1CCB">
      <w:pPr>
        <w:spacing w:after="0"/>
        <w:rPr>
          <w:rFonts w:eastAsia="Times New Roman" w:cs="Times New Roman"/>
          <w:spacing w:val="0"/>
        </w:rPr>
      </w:pPr>
    </w:p>
    <w:p w14:paraId="006CBF2E" w14:textId="307DC8B1" w:rsidR="00960C35" w:rsidRPr="005C1F8F" w:rsidRDefault="00960C35" w:rsidP="002E1CCB">
      <w:pPr>
        <w:spacing w:after="0"/>
        <w:rPr>
          <w:rFonts w:eastAsia="Times New Roman" w:cs="Times New Roman"/>
          <w:spacing w:val="0"/>
        </w:rPr>
      </w:pPr>
      <w:r w:rsidRPr="005C1F8F">
        <w:rPr>
          <w:rFonts w:eastAsia="Times New Roman" w:cs="Times New Roman"/>
          <w:spacing w:val="0"/>
        </w:rPr>
        <w:t>When screening the OF 306 or equivalent form, the following documents, when available, should also be reviewed:</w:t>
      </w:r>
      <w:r w:rsidR="000A6A7C">
        <w:rPr>
          <w:rFonts w:eastAsia="Times New Roman" w:cs="Times New Roman"/>
          <w:spacing w:val="0"/>
        </w:rPr>
        <w:br/>
      </w:r>
    </w:p>
    <w:p w14:paraId="664BA2CF" w14:textId="21794FA3" w:rsidR="00E07671" w:rsidRPr="005C1F8F" w:rsidRDefault="00E07671" w:rsidP="002E1CCB">
      <w:pPr>
        <w:numPr>
          <w:ilvl w:val="0"/>
          <w:numId w:val="51"/>
        </w:numPr>
        <w:spacing w:after="0"/>
        <w:rPr>
          <w:rFonts w:eastAsia="Calibri" w:cs="Times New Roman"/>
          <w:spacing w:val="0"/>
        </w:rPr>
      </w:pPr>
      <w:r w:rsidRPr="005C1F8F">
        <w:rPr>
          <w:rFonts w:eastAsia="Calibri" w:cs="Times New Roman"/>
          <w:spacing w:val="0"/>
        </w:rPr>
        <w:t>The position description or equivalent;</w:t>
      </w:r>
    </w:p>
    <w:p w14:paraId="66EEF497" w14:textId="03B588BE" w:rsidR="00960C35" w:rsidRPr="005C1F8F" w:rsidRDefault="00960C35" w:rsidP="002E1CCB">
      <w:pPr>
        <w:numPr>
          <w:ilvl w:val="0"/>
          <w:numId w:val="51"/>
        </w:numPr>
        <w:spacing w:after="0"/>
        <w:rPr>
          <w:rFonts w:eastAsia="Calibri" w:cs="Times New Roman"/>
          <w:spacing w:val="0"/>
        </w:rPr>
      </w:pPr>
      <w:r w:rsidRPr="005C1F8F">
        <w:rPr>
          <w:rFonts w:eastAsia="Calibri" w:cs="Times New Roman"/>
          <w:spacing w:val="0"/>
        </w:rPr>
        <w:lastRenderedPageBreak/>
        <w:t>The résumé;</w:t>
      </w:r>
    </w:p>
    <w:p w14:paraId="782A3D7D" w14:textId="77777777" w:rsidR="00960C35" w:rsidRPr="005C1F8F" w:rsidRDefault="00960C35" w:rsidP="002E1CCB">
      <w:pPr>
        <w:numPr>
          <w:ilvl w:val="0"/>
          <w:numId w:val="51"/>
        </w:numPr>
        <w:spacing w:after="0"/>
        <w:rPr>
          <w:rFonts w:eastAsia="Calibri" w:cs="Times New Roman"/>
          <w:spacing w:val="0"/>
        </w:rPr>
      </w:pPr>
      <w:r w:rsidRPr="005C1F8F">
        <w:rPr>
          <w:rFonts w:eastAsia="Calibri" w:cs="Times New Roman"/>
          <w:spacing w:val="0"/>
        </w:rPr>
        <w:t>Completed investigative form, if applicable;</w:t>
      </w:r>
    </w:p>
    <w:p w14:paraId="0785DAA7" w14:textId="77777777" w:rsidR="00960C35" w:rsidRPr="005C1F8F" w:rsidRDefault="00960C35" w:rsidP="002E1CCB">
      <w:pPr>
        <w:numPr>
          <w:ilvl w:val="0"/>
          <w:numId w:val="51"/>
        </w:numPr>
        <w:spacing w:after="0"/>
        <w:rPr>
          <w:rFonts w:eastAsia="Calibri" w:cs="Times New Roman"/>
          <w:spacing w:val="0"/>
        </w:rPr>
      </w:pPr>
      <w:r w:rsidRPr="005C1F8F">
        <w:rPr>
          <w:rFonts w:eastAsia="Calibri" w:cs="Times New Roman"/>
          <w:spacing w:val="0"/>
        </w:rPr>
        <w:t>Application material from USAJOBS;</w:t>
      </w:r>
    </w:p>
    <w:p w14:paraId="3521DE0F" w14:textId="77777777" w:rsidR="00960C35" w:rsidRPr="005C1F8F" w:rsidRDefault="00960C35" w:rsidP="002E1CCB">
      <w:pPr>
        <w:numPr>
          <w:ilvl w:val="0"/>
          <w:numId w:val="51"/>
        </w:numPr>
        <w:spacing w:after="0"/>
        <w:rPr>
          <w:rFonts w:eastAsia="Calibri" w:cs="Times New Roman"/>
          <w:spacing w:val="0"/>
        </w:rPr>
      </w:pPr>
      <w:r w:rsidRPr="005C1F8F">
        <w:rPr>
          <w:rFonts w:eastAsia="Calibri" w:cs="Times New Roman"/>
          <w:spacing w:val="0"/>
        </w:rPr>
        <w:t>Applicant-provided documents such as transcripts, records related to prior Federal or military service, etc.; and,</w:t>
      </w:r>
    </w:p>
    <w:p w14:paraId="6F50B16D" w14:textId="2AFFC017" w:rsidR="00960C35" w:rsidRPr="005C1F8F" w:rsidRDefault="00960C35" w:rsidP="002E1CCB">
      <w:pPr>
        <w:numPr>
          <w:ilvl w:val="0"/>
          <w:numId w:val="51"/>
        </w:numPr>
        <w:spacing w:after="0"/>
        <w:rPr>
          <w:rFonts w:eastAsia="Calibri" w:cs="Times New Roman"/>
          <w:spacing w:val="0"/>
        </w:rPr>
      </w:pPr>
      <w:r w:rsidRPr="005C1F8F">
        <w:rPr>
          <w:rFonts w:eastAsia="Calibri" w:cs="Times New Roman"/>
          <w:spacing w:val="0"/>
        </w:rPr>
        <w:t>The results of any reference checks that may have been provided by the selecting official.</w:t>
      </w:r>
    </w:p>
    <w:p w14:paraId="4532053D" w14:textId="77777777" w:rsidR="00E07671" w:rsidRPr="005C1F8F" w:rsidRDefault="00E07671" w:rsidP="002E1CCB">
      <w:pPr>
        <w:spacing w:after="0"/>
        <w:ind w:left="720"/>
        <w:rPr>
          <w:rFonts w:eastAsia="Calibri" w:cs="Times New Roman"/>
          <w:spacing w:val="0"/>
        </w:rPr>
      </w:pPr>
    </w:p>
    <w:p w14:paraId="6599B9D0" w14:textId="1DFBABC6" w:rsidR="00087861" w:rsidRPr="00087861" w:rsidRDefault="00960C35" w:rsidP="00FE4B49">
      <w:r w:rsidRPr="005C1F8F">
        <w:rPr>
          <w:rFonts w:eastAsia="Times New Roman" w:cs="Times New Roman"/>
          <w:spacing w:val="0"/>
        </w:rPr>
        <w:t>In assessing suitability</w:t>
      </w:r>
      <w:r w:rsidR="15B5F91C" w:rsidRPr="005C1F8F">
        <w:rPr>
          <w:rFonts w:eastAsia="Times New Roman" w:cs="Times New Roman"/>
          <w:spacing w:val="0"/>
        </w:rPr>
        <w:t xml:space="preserve"> or fitness</w:t>
      </w:r>
      <w:r w:rsidRPr="005C1F8F">
        <w:rPr>
          <w:rFonts w:eastAsia="Times New Roman" w:cs="Times New Roman"/>
          <w:spacing w:val="0"/>
        </w:rPr>
        <w:t xml:space="preserve">, it is important for the adjudicator to compare the information provided on completed forms and answers to questions with other available information to identify discrepancies. Suitability </w:t>
      </w:r>
      <w:r w:rsidR="00E07671" w:rsidRPr="005C1F8F">
        <w:rPr>
          <w:rFonts w:eastAsia="Times New Roman" w:cs="Times New Roman"/>
          <w:spacing w:val="0"/>
        </w:rPr>
        <w:t xml:space="preserve">or fitness </w:t>
      </w:r>
      <w:r w:rsidRPr="005C1F8F">
        <w:rPr>
          <w:rFonts w:eastAsia="Times New Roman" w:cs="Times New Roman"/>
          <w:spacing w:val="0"/>
        </w:rPr>
        <w:t xml:space="preserve">issues, such as falsification, may surface when specific data is assessed in relation to other available information. If the results yield potential suitability </w:t>
      </w:r>
      <w:r w:rsidR="00E07671" w:rsidRPr="005C1F8F">
        <w:rPr>
          <w:rFonts w:eastAsia="Times New Roman" w:cs="Times New Roman"/>
          <w:spacing w:val="0"/>
        </w:rPr>
        <w:t xml:space="preserve">or fitness </w:t>
      </w:r>
      <w:r w:rsidRPr="005C1F8F">
        <w:rPr>
          <w:rFonts w:eastAsia="Times New Roman" w:cs="Times New Roman"/>
          <w:spacing w:val="0"/>
        </w:rPr>
        <w:t xml:space="preserve">issues, </w:t>
      </w:r>
      <w:r w:rsidR="00E07671" w:rsidRPr="005C1F8F">
        <w:rPr>
          <w:rFonts w:eastAsia="Times New Roman" w:cs="Times New Roman"/>
          <w:spacing w:val="0"/>
        </w:rPr>
        <w:t>an</w:t>
      </w:r>
      <w:r w:rsidRPr="005C1F8F">
        <w:rPr>
          <w:rFonts w:eastAsia="Times New Roman" w:cs="Times New Roman"/>
          <w:spacing w:val="0"/>
        </w:rPr>
        <w:t xml:space="preserve"> evaluation must be done prior to the individual being appointed. To ensure consistency, the Determination Process outlined in </w:t>
      </w:r>
      <w:hyperlink w:anchor="_2.2_–_Introduction" w:history="1">
        <w:r w:rsidRPr="007A154B">
          <w:rPr>
            <w:rStyle w:val="Hyperlink"/>
            <w:rFonts w:eastAsia="Times New Roman" w:cs="Times New Roman"/>
            <w:spacing w:val="0"/>
          </w:rPr>
          <w:t xml:space="preserve">Volume </w:t>
        </w:r>
        <w:r w:rsidR="00E07671" w:rsidRPr="007A154B">
          <w:rPr>
            <w:rStyle w:val="Hyperlink"/>
            <w:rFonts w:eastAsia="Times New Roman" w:cs="Times New Roman"/>
            <w:spacing w:val="0"/>
          </w:rPr>
          <w:t>3</w:t>
        </w:r>
      </w:hyperlink>
      <w:r w:rsidR="00E07671" w:rsidRPr="005C1F8F">
        <w:rPr>
          <w:rFonts w:eastAsia="Times New Roman" w:cs="Times New Roman"/>
          <w:spacing w:val="0"/>
        </w:rPr>
        <w:t xml:space="preserve"> of this Manual</w:t>
      </w:r>
      <w:r w:rsidRPr="005C1F8F">
        <w:rPr>
          <w:rFonts w:eastAsia="Times New Roman" w:cs="Times New Roman"/>
          <w:spacing w:val="0"/>
        </w:rPr>
        <w:t xml:space="preserve"> is applied when conducting the evaluation in order to make the assessment to determine if further action may be required prior to appointing the individual, initiating the required level of investigation, and/or moving the individual to the next point in the hiring process. The following table may serve as a reference for addressing scenarios encountered during screening:</w:t>
      </w:r>
    </w:p>
    <w:p w14:paraId="2FA1CCD3" w14:textId="6481E0CB" w:rsidR="00E07671" w:rsidRPr="005723A7" w:rsidRDefault="009C0ED9" w:rsidP="0037635D">
      <w:pPr>
        <w:pStyle w:val="Heading5"/>
        <w:rPr>
          <w:rFonts w:eastAsia="Times New Roman" w:cs="Times New Roman"/>
          <w:spacing w:val="0"/>
        </w:rPr>
      </w:pPr>
      <w:r>
        <w:t>Screening Scenarios (</w:t>
      </w:r>
      <w:r w:rsidR="00A26CB4">
        <w:t>T</w:t>
      </w:r>
      <w:r w:rsidR="00C55BFE">
        <w:t>able</w:t>
      </w:r>
      <w:r w:rsidR="00A26CB4">
        <w:t xml:space="preserve"> 1</w:t>
      </w:r>
      <w:r w:rsidR="00701AB3">
        <w:t xml:space="preserve"> V</w:t>
      </w:r>
      <w:r w:rsidR="00A26CB4">
        <w:t>4</w:t>
      </w:r>
      <w:r>
        <w:t>)</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9"/>
        <w:gridCol w:w="5276"/>
      </w:tblGrid>
      <w:tr w:rsidR="00B823CB" w:rsidRPr="00B823CB" w14:paraId="4AF80524" w14:textId="77777777" w:rsidTr="00ED3CDE">
        <w:trPr>
          <w:jc w:val="center"/>
        </w:trPr>
        <w:tc>
          <w:tcPr>
            <w:tcW w:w="4169" w:type="dxa"/>
            <w:shd w:val="clear" w:color="auto" w:fill="A6A6A6"/>
          </w:tcPr>
          <w:p w14:paraId="4E43665F" w14:textId="77777777" w:rsidR="00B823CB" w:rsidRPr="00F83101" w:rsidRDefault="00B823CB" w:rsidP="00B823CB">
            <w:pPr>
              <w:spacing w:after="0" w:line="240" w:lineRule="auto"/>
              <w:jc w:val="center"/>
              <w:rPr>
                <w:rFonts w:eastAsia="Times New Roman" w:cs="Times New Roman"/>
                <w:b/>
                <w:spacing w:val="0"/>
              </w:rPr>
            </w:pPr>
            <w:r w:rsidRPr="00F83101">
              <w:rPr>
                <w:rFonts w:eastAsia="Times New Roman" w:cs="Times New Roman"/>
                <w:b/>
                <w:spacing w:val="0"/>
              </w:rPr>
              <w:t>Type of Situation</w:t>
            </w:r>
          </w:p>
        </w:tc>
        <w:tc>
          <w:tcPr>
            <w:tcW w:w="5276" w:type="dxa"/>
            <w:shd w:val="clear" w:color="auto" w:fill="A6A6A6"/>
          </w:tcPr>
          <w:p w14:paraId="0ABB354A" w14:textId="77777777" w:rsidR="00B823CB" w:rsidRPr="00F83101" w:rsidRDefault="00B823CB" w:rsidP="00B823CB">
            <w:pPr>
              <w:spacing w:after="0" w:line="240" w:lineRule="auto"/>
              <w:jc w:val="center"/>
              <w:rPr>
                <w:rFonts w:eastAsia="Times New Roman" w:cs="Times New Roman"/>
                <w:b/>
                <w:spacing w:val="0"/>
              </w:rPr>
            </w:pPr>
            <w:r w:rsidRPr="00F83101">
              <w:rPr>
                <w:rFonts w:eastAsia="Times New Roman" w:cs="Times New Roman"/>
                <w:b/>
                <w:spacing w:val="0"/>
              </w:rPr>
              <w:t>Appropriate Action</w:t>
            </w:r>
          </w:p>
        </w:tc>
      </w:tr>
      <w:tr w:rsidR="00B823CB" w:rsidRPr="00B823CB" w14:paraId="30FB5392" w14:textId="77777777" w:rsidTr="00ED3CDE">
        <w:trPr>
          <w:jc w:val="center"/>
        </w:trPr>
        <w:tc>
          <w:tcPr>
            <w:tcW w:w="4169" w:type="dxa"/>
            <w:shd w:val="clear" w:color="auto" w:fill="auto"/>
          </w:tcPr>
          <w:p w14:paraId="27EA04D4" w14:textId="3FD58523" w:rsidR="00B823CB" w:rsidRPr="00F83101" w:rsidRDefault="00B823CB" w:rsidP="00B823CB">
            <w:pPr>
              <w:spacing w:after="0" w:line="240" w:lineRule="auto"/>
              <w:rPr>
                <w:rFonts w:eastAsia="Times New Roman" w:cs="Times New Roman"/>
                <w:spacing w:val="0"/>
              </w:rPr>
            </w:pPr>
            <w:r w:rsidRPr="00F83101">
              <w:rPr>
                <w:rFonts w:eastAsia="Times New Roman" w:cs="Times New Roman"/>
                <w:spacing w:val="0"/>
              </w:rPr>
              <w:t xml:space="preserve">The issue is a suitability </w:t>
            </w:r>
            <w:r w:rsidR="009C61A1" w:rsidRPr="00F83101">
              <w:rPr>
                <w:rFonts w:eastAsia="Times New Roman" w:cs="Times New Roman"/>
                <w:spacing w:val="0"/>
              </w:rPr>
              <w:t>matter,</w:t>
            </w:r>
            <w:r w:rsidRPr="00F83101">
              <w:rPr>
                <w:rFonts w:eastAsia="Times New Roman" w:cs="Times New Roman"/>
                <w:spacing w:val="0"/>
              </w:rPr>
              <w:t xml:space="preserve"> and no other concerns are present.</w:t>
            </w:r>
          </w:p>
        </w:tc>
        <w:tc>
          <w:tcPr>
            <w:tcW w:w="5276" w:type="dxa"/>
            <w:vMerge w:val="restart"/>
            <w:shd w:val="clear" w:color="auto" w:fill="auto"/>
            <w:vAlign w:val="center"/>
          </w:tcPr>
          <w:p w14:paraId="57C80F2F" w14:textId="7D617191" w:rsidR="00B823CB" w:rsidRPr="00F83101" w:rsidRDefault="00B823CB" w:rsidP="00B823CB">
            <w:pPr>
              <w:spacing w:after="0" w:line="240" w:lineRule="auto"/>
              <w:rPr>
                <w:rFonts w:eastAsia="Times New Roman" w:cs="Times New Roman"/>
                <w:spacing w:val="0"/>
              </w:rPr>
            </w:pPr>
            <w:r w:rsidRPr="00F83101">
              <w:rPr>
                <w:rFonts w:eastAsia="Times New Roman" w:cs="Times New Roman"/>
                <w:spacing w:val="0"/>
              </w:rPr>
              <w:t xml:space="preserve">Continue with the review. Conduct </w:t>
            </w:r>
            <w:r w:rsidR="009C61A1" w:rsidRPr="00F83101">
              <w:rPr>
                <w:rFonts w:eastAsia="Times New Roman" w:cs="Times New Roman"/>
                <w:spacing w:val="0"/>
              </w:rPr>
              <w:t>an</w:t>
            </w:r>
            <w:r w:rsidRPr="00F83101">
              <w:rPr>
                <w:rFonts w:eastAsia="Times New Roman" w:cs="Times New Roman"/>
                <w:spacing w:val="0"/>
              </w:rPr>
              <w:t xml:space="preserve"> evaluation to determine if further action is required. See Volume 3 of this Manual for guidance on the determination process.</w:t>
            </w:r>
          </w:p>
        </w:tc>
      </w:tr>
      <w:tr w:rsidR="00B823CB" w:rsidRPr="00B823CB" w14:paraId="56589769" w14:textId="77777777" w:rsidTr="00ED3CDE">
        <w:trPr>
          <w:jc w:val="center"/>
        </w:trPr>
        <w:tc>
          <w:tcPr>
            <w:tcW w:w="4169" w:type="dxa"/>
            <w:shd w:val="clear" w:color="auto" w:fill="auto"/>
          </w:tcPr>
          <w:p w14:paraId="34C1C52E" w14:textId="17A8628A" w:rsidR="00B823CB" w:rsidRPr="00F83101" w:rsidRDefault="00B823CB" w:rsidP="00B823CB">
            <w:pPr>
              <w:spacing w:after="0" w:line="240" w:lineRule="auto"/>
              <w:rPr>
                <w:rFonts w:eastAsia="Times New Roman" w:cs="Times New Roman"/>
                <w:spacing w:val="0"/>
              </w:rPr>
            </w:pPr>
            <w:r w:rsidRPr="00F83101">
              <w:rPr>
                <w:rFonts w:eastAsia="Times New Roman" w:cs="Times New Roman"/>
                <w:spacing w:val="0"/>
              </w:rPr>
              <w:t>The individual is under indictment or has pending charges, but the pending issue is not the primary issue in the case. The pending issue is also not likely to result in incarceration, and there are additional potentially disqualifying issues.</w:t>
            </w:r>
          </w:p>
        </w:tc>
        <w:tc>
          <w:tcPr>
            <w:tcW w:w="5276" w:type="dxa"/>
            <w:vMerge/>
            <w:shd w:val="clear" w:color="auto" w:fill="auto"/>
          </w:tcPr>
          <w:p w14:paraId="08B657F2" w14:textId="77777777" w:rsidR="00B823CB" w:rsidRPr="00F83101" w:rsidRDefault="00B823CB" w:rsidP="00B823CB">
            <w:pPr>
              <w:spacing w:after="0" w:line="240" w:lineRule="auto"/>
              <w:rPr>
                <w:rFonts w:eastAsia="Times New Roman" w:cs="Times New Roman"/>
                <w:spacing w:val="0"/>
              </w:rPr>
            </w:pPr>
          </w:p>
        </w:tc>
      </w:tr>
      <w:tr w:rsidR="00B823CB" w:rsidRPr="00B823CB" w14:paraId="6DAB3523" w14:textId="77777777" w:rsidTr="00ED3CDE">
        <w:trPr>
          <w:jc w:val="center"/>
        </w:trPr>
        <w:tc>
          <w:tcPr>
            <w:tcW w:w="4169" w:type="dxa"/>
            <w:shd w:val="clear" w:color="auto" w:fill="auto"/>
          </w:tcPr>
          <w:p w14:paraId="1FB56F56" w14:textId="77777777" w:rsidR="00B823CB" w:rsidRPr="00F83101" w:rsidRDefault="00B823CB" w:rsidP="00B823CB">
            <w:pPr>
              <w:spacing w:after="0" w:line="240" w:lineRule="auto"/>
              <w:rPr>
                <w:rFonts w:eastAsia="Times New Roman" w:cs="Times New Roman"/>
                <w:spacing w:val="0"/>
              </w:rPr>
            </w:pPr>
            <w:r w:rsidRPr="00F83101">
              <w:rPr>
                <w:rFonts w:eastAsia="Times New Roman" w:cs="Times New Roman"/>
                <w:spacing w:val="0"/>
              </w:rPr>
              <w:t>The individual has a pending appeal or a prior termination; however, there are sufficient facts to adjudicate, and the individual is not disputing the conduct that led to the termination.</w:t>
            </w:r>
          </w:p>
        </w:tc>
        <w:tc>
          <w:tcPr>
            <w:tcW w:w="5276" w:type="dxa"/>
            <w:vMerge/>
            <w:shd w:val="clear" w:color="auto" w:fill="auto"/>
          </w:tcPr>
          <w:p w14:paraId="0E7D0811" w14:textId="77777777" w:rsidR="00B823CB" w:rsidRPr="00F83101" w:rsidRDefault="00B823CB" w:rsidP="00B823CB">
            <w:pPr>
              <w:spacing w:after="0" w:line="240" w:lineRule="auto"/>
              <w:rPr>
                <w:rFonts w:eastAsia="Times New Roman" w:cs="Times New Roman"/>
                <w:spacing w:val="0"/>
              </w:rPr>
            </w:pPr>
          </w:p>
        </w:tc>
      </w:tr>
      <w:tr w:rsidR="00B823CB" w:rsidRPr="00B823CB" w14:paraId="05D29E1B" w14:textId="77777777" w:rsidTr="00ED3CDE">
        <w:trPr>
          <w:jc w:val="center"/>
        </w:trPr>
        <w:tc>
          <w:tcPr>
            <w:tcW w:w="4169" w:type="dxa"/>
            <w:shd w:val="clear" w:color="auto" w:fill="D9D9D9"/>
          </w:tcPr>
          <w:p w14:paraId="5C226C0F" w14:textId="37BE5FE7" w:rsidR="00B823CB" w:rsidRPr="00F83101" w:rsidRDefault="00B823CB" w:rsidP="00B823CB">
            <w:pPr>
              <w:spacing w:after="0" w:line="240" w:lineRule="auto"/>
              <w:rPr>
                <w:rFonts w:eastAsia="Times New Roman" w:cs="Times New Roman"/>
                <w:spacing w:val="0"/>
              </w:rPr>
            </w:pPr>
            <w:r w:rsidRPr="00F83101">
              <w:rPr>
                <w:rFonts w:eastAsia="Times New Roman" w:cs="Times New Roman"/>
                <w:spacing w:val="0"/>
              </w:rPr>
              <w:t xml:space="preserve">There is evidence of a material, intentional false statement, or deception or fraud in examination or appointment, knowing and willful engagement in acts or activities designed to overthrow the U.S. Government by force, or conduct that warrants a </w:t>
            </w:r>
            <w:r w:rsidR="00BB21FA">
              <w:rPr>
                <w:rFonts w:eastAsia="Times New Roman" w:cs="Times New Roman"/>
                <w:spacing w:val="0"/>
              </w:rPr>
              <w:t>g</w:t>
            </w:r>
            <w:r w:rsidRPr="00F83101">
              <w:rPr>
                <w:rFonts w:eastAsia="Times New Roman" w:cs="Times New Roman"/>
                <w:spacing w:val="0"/>
              </w:rPr>
              <w:t>overnment</w:t>
            </w:r>
            <w:r w:rsidR="00BB21FA">
              <w:rPr>
                <w:rFonts w:eastAsia="Times New Roman" w:cs="Times New Roman"/>
                <w:spacing w:val="0"/>
              </w:rPr>
              <w:t>-</w:t>
            </w:r>
            <w:r w:rsidRPr="00F83101">
              <w:rPr>
                <w:rFonts w:eastAsia="Times New Roman" w:cs="Times New Roman"/>
                <w:spacing w:val="0"/>
              </w:rPr>
              <w:t>wide debarment.</w:t>
            </w:r>
          </w:p>
        </w:tc>
        <w:tc>
          <w:tcPr>
            <w:tcW w:w="5276" w:type="dxa"/>
            <w:shd w:val="clear" w:color="auto" w:fill="D9D9D9"/>
            <w:vAlign w:val="center"/>
          </w:tcPr>
          <w:p w14:paraId="2F986E77" w14:textId="625261C4" w:rsidR="00B823CB" w:rsidRPr="00F83101" w:rsidRDefault="00B823CB" w:rsidP="00B823CB">
            <w:pPr>
              <w:spacing w:after="0" w:line="240" w:lineRule="auto"/>
              <w:rPr>
                <w:rFonts w:eastAsia="Times New Roman" w:cs="Times New Roman"/>
                <w:spacing w:val="0"/>
              </w:rPr>
            </w:pPr>
            <w:r w:rsidRPr="00F83101">
              <w:rPr>
                <w:rFonts w:eastAsia="Times New Roman" w:cs="Times New Roman"/>
                <w:spacing w:val="0"/>
              </w:rPr>
              <w:t xml:space="preserve">Refer to OPM for adjudication. See </w:t>
            </w:r>
            <w:r w:rsidRPr="00F83101">
              <w:rPr>
                <w:rFonts w:eastAsia="Times New Roman" w:cs="Arial"/>
                <w:spacing w:val="0"/>
              </w:rPr>
              <w:t>Volume 3 of this Manual for guidance on the determination and referral process.</w:t>
            </w:r>
          </w:p>
        </w:tc>
      </w:tr>
      <w:tr w:rsidR="00B823CB" w:rsidRPr="00B823CB" w14:paraId="375D6218" w14:textId="77777777" w:rsidTr="00ED3CDE">
        <w:trPr>
          <w:jc w:val="center"/>
        </w:trPr>
        <w:tc>
          <w:tcPr>
            <w:tcW w:w="4169" w:type="dxa"/>
            <w:shd w:val="clear" w:color="auto" w:fill="auto"/>
          </w:tcPr>
          <w:p w14:paraId="7C08213C" w14:textId="77777777" w:rsidR="00B823CB" w:rsidRPr="00F83101" w:rsidRDefault="00B823CB" w:rsidP="00B823CB">
            <w:pPr>
              <w:spacing w:after="0" w:line="240" w:lineRule="auto"/>
              <w:rPr>
                <w:rFonts w:eastAsia="Times New Roman" w:cs="Times New Roman"/>
                <w:spacing w:val="0"/>
              </w:rPr>
            </w:pPr>
            <w:r w:rsidRPr="00F83101">
              <w:rPr>
                <w:rFonts w:eastAsia="Times New Roman" w:cs="Times New Roman"/>
                <w:spacing w:val="0"/>
              </w:rPr>
              <w:lastRenderedPageBreak/>
              <w:t>Additional information is required to make an adjudicative decision.</w:t>
            </w:r>
          </w:p>
        </w:tc>
        <w:tc>
          <w:tcPr>
            <w:tcW w:w="5276" w:type="dxa"/>
            <w:shd w:val="clear" w:color="auto" w:fill="auto"/>
          </w:tcPr>
          <w:p w14:paraId="5EEFFA2C" w14:textId="42BF3FF5" w:rsidR="00B823CB" w:rsidRPr="00F83101" w:rsidRDefault="00B823CB" w:rsidP="00B823CB">
            <w:pPr>
              <w:spacing w:after="0" w:line="240" w:lineRule="auto"/>
              <w:rPr>
                <w:rFonts w:eastAsia="Times New Roman" w:cs="Times New Roman"/>
                <w:spacing w:val="0"/>
              </w:rPr>
            </w:pPr>
            <w:r w:rsidRPr="00F83101">
              <w:rPr>
                <w:rFonts w:eastAsia="Times New Roman" w:cs="Times New Roman"/>
                <w:spacing w:val="0"/>
              </w:rPr>
              <w:t xml:space="preserve">See </w:t>
            </w:r>
            <w:hyperlink w:anchor="_Adjudicative_Processing_of" w:history="1">
              <w:r w:rsidRPr="00F83101">
                <w:rPr>
                  <w:rFonts w:eastAsia="Times New Roman" w:cs="Times New Roman"/>
                  <w:b/>
                  <w:spacing w:val="0"/>
                </w:rPr>
                <w:t>Adjudicative Processing</w:t>
              </w:r>
            </w:hyperlink>
            <w:r w:rsidRPr="00F83101">
              <w:rPr>
                <w:rFonts w:eastAsia="Times New Roman" w:cs="Times New Roman"/>
                <w:spacing w:val="0"/>
              </w:rPr>
              <w:t xml:space="preserve"> in this Volume</w:t>
            </w:r>
            <w:r w:rsidR="00DF4496">
              <w:rPr>
                <w:rFonts w:eastAsia="Times New Roman" w:cs="Times New Roman"/>
                <w:spacing w:val="0"/>
              </w:rPr>
              <w:t>.</w:t>
            </w:r>
          </w:p>
        </w:tc>
      </w:tr>
      <w:tr w:rsidR="00B823CB" w:rsidRPr="00B823CB" w14:paraId="4753F8A4" w14:textId="77777777" w:rsidTr="00ED3CDE">
        <w:trPr>
          <w:jc w:val="center"/>
        </w:trPr>
        <w:tc>
          <w:tcPr>
            <w:tcW w:w="4169" w:type="dxa"/>
            <w:shd w:val="clear" w:color="auto" w:fill="D9D9D9"/>
          </w:tcPr>
          <w:p w14:paraId="14891314" w14:textId="77777777" w:rsidR="00B823CB" w:rsidRPr="00F83101" w:rsidRDefault="00B823CB" w:rsidP="00B823CB">
            <w:pPr>
              <w:spacing w:after="0" w:line="240" w:lineRule="auto"/>
              <w:rPr>
                <w:rFonts w:eastAsia="Times New Roman" w:cs="Times New Roman"/>
                <w:spacing w:val="0"/>
              </w:rPr>
            </w:pPr>
            <w:r w:rsidRPr="00F83101">
              <w:rPr>
                <w:rFonts w:eastAsia="Times New Roman" w:cs="Times New Roman"/>
                <w:spacing w:val="0"/>
              </w:rPr>
              <w:t>The OF 306, investigative data form, or other relevant document is unsigned, incomplete, or improperly completed.</w:t>
            </w:r>
          </w:p>
        </w:tc>
        <w:tc>
          <w:tcPr>
            <w:tcW w:w="5276" w:type="dxa"/>
            <w:shd w:val="clear" w:color="auto" w:fill="D9D9D9"/>
            <w:vAlign w:val="center"/>
          </w:tcPr>
          <w:p w14:paraId="69ADB05E" w14:textId="39126AC0" w:rsidR="00B823CB" w:rsidRPr="00F83101" w:rsidRDefault="00B823CB" w:rsidP="00B823CB">
            <w:pPr>
              <w:spacing w:after="0" w:line="240" w:lineRule="auto"/>
              <w:rPr>
                <w:rFonts w:eastAsia="Times New Roman" w:cs="Times New Roman"/>
                <w:spacing w:val="0"/>
              </w:rPr>
            </w:pPr>
            <w:r w:rsidRPr="00F83101">
              <w:rPr>
                <w:rFonts w:eastAsia="Times New Roman" w:cs="Times New Roman"/>
                <w:spacing w:val="0"/>
              </w:rPr>
              <w:t>The individual should be re-contacted in accordance with agency procedures. The individual cannot clear screening and/or be brought on board until the form is completed.</w:t>
            </w:r>
          </w:p>
        </w:tc>
      </w:tr>
      <w:tr w:rsidR="00B823CB" w:rsidRPr="002174D2" w14:paraId="78685666" w14:textId="77777777" w:rsidTr="00ED3CDE">
        <w:trPr>
          <w:trHeight w:val="1068"/>
          <w:jc w:val="center"/>
        </w:trPr>
        <w:tc>
          <w:tcPr>
            <w:tcW w:w="4169" w:type="dxa"/>
            <w:shd w:val="clear" w:color="auto" w:fill="auto"/>
          </w:tcPr>
          <w:p w14:paraId="7B767408" w14:textId="77777777" w:rsidR="00B823CB" w:rsidRPr="00F83101" w:rsidRDefault="00B823CB" w:rsidP="00B823CB">
            <w:pPr>
              <w:spacing w:after="0" w:line="240" w:lineRule="auto"/>
              <w:rPr>
                <w:rFonts w:eastAsia="Times New Roman" w:cs="Times New Roman"/>
                <w:spacing w:val="0"/>
              </w:rPr>
            </w:pPr>
            <w:r w:rsidRPr="00F83101">
              <w:rPr>
                <w:rFonts w:eastAsia="Times New Roman" w:cs="Times New Roman"/>
                <w:spacing w:val="0"/>
              </w:rPr>
              <w:t>The issue is not a suitability matter (e.g., involves medical, qualifications, or other basic eligibility concerns).</w:t>
            </w:r>
          </w:p>
        </w:tc>
        <w:tc>
          <w:tcPr>
            <w:tcW w:w="5276" w:type="dxa"/>
            <w:shd w:val="clear" w:color="auto" w:fill="auto"/>
            <w:vAlign w:val="center"/>
          </w:tcPr>
          <w:p w14:paraId="0A4E498D" w14:textId="77777777" w:rsidR="00B823CB" w:rsidRPr="00F83101" w:rsidRDefault="00B823CB" w:rsidP="00B823CB">
            <w:pPr>
              <w:spacing w:after="0" w:line="240" w:lineRule="auto"/>
              <w:rPr>
                <w:rFonts w:eastAsia="Times New Roman" w:cs="Times New Roman"/>
                <w:spacing w:val="0"/>
              </w:rPr>
            </w:pPr>
            <w:r w:rsidRPr="00F83101">
              <w:rPr>
                <w:rFonts w:eastAsia="Times New Roman" w:cs="Times New Roman"/>
                <w:spacing w:val="0"/>
              </w:rPr>
              <w:t xml:space="preserve">Return the application and related papers to the Human Resources Office personnel responsible for coordinating the offer with the individual and explain the individual’s qualifications and/or eligibility should be re-examined. </w:t>
            </w:r>
          </w:p>
        </w:tc>
      </w:tr>
      <w:tr w:rsidR="00B823CB" w:rsidRPr="00B823CB" w14:paraId="5A97C29D" w14:textId="77777777" w:rsidTr="00ED3CDE">
        <w:trPr>
          <w:jc w:val="center"/>
        </w:trPr>
        <w:tc>
          <w:tcPr>
            <w:tcW w:w="4169" w:type="dxa"/>
            <w:shd w:val="clear" w:color="auto" w:fill="D9D9D9"/>
          </w:tcPr>
          <w:p w14:paraId="7A645E60" w14:textId="66910924" w:rsidR="00B823CB" w:rsidRPr="00F83101" w:rsidRDefault="00B823CB" w:rsidP="00B823CB">
            <w:pPr>
              <w:spacing w:after="0" w:line="240" w:lineRule="auto"/>
              <w:rPr>
                <w:rFonts w:eastAsia="Times New Roman" w:cs="Times New Roman"/>
                <w:spacing w:val="0"/>
              </w:rPr>
            </w:pPr>
            <w:r w:rsidRPr="00F83101">
              <w:rPr>
                <w:rFonts w:eastAsia="Times New Roman" w:cs="Times New Roman"/>
                <w:spacing w:val="0"/>
              </w:rPr>
              <w:t>The individual is under indictment or has pending charges, but the pending charge is not potentially disqualifying and would not likely result in incarceration. No other actionable issues are present.</w:t>
            </w:r>
          </w:p>
        </w:tc>
        <w:tc>
          <w:tcPr>
            <w:tcW w:w="5276" w:type="dxa"/>
            <w:shd w:val="clear" w:color="auto" w:fill="D9D9D9"/>
            <w:vAlign w:val="center"/>
          </w:tcPr>
          <w:p w14:paraId="77859450" w14:textId="77777777" w:rsidR="00B823CB" w:rsidRPr="00F83101" w:rsidRDefault="00B823CB" w:rsidP="00B823CB">
            <w:pPr>
              <w:spacing w:after="0" w:line="240" w:lineRule="auto"/>
              <w:rPr>
                <w:rFonts w:eastAsia="Times New Roman" w:cs="Times New Roman"/>
                <w:spacing w:val="0"/>
              </w:rPr>
            </w:pPr>
            <w:r w:rsidRPr="00F83101">
              <w:rPr>
                <w:rFonts w:eastAsia="Times New Roman" w:cs="Times New Roman"/>
                <w:spacing w:val="0"/>
              </w:rPr>
              <w:t>Continue with normal case processing procedures.</w:t>
            </w:r>
          </w:p>
        </w:tc>
      </w:tr>
      <w:tr w:rsidR="00B823CB" w:rsidRPr="00B823CB" w14:paraId="4ED12F78" w14:textId="77777777" w:rsidTr="00ED3CDE">
        <w:trPr>
          <w:jc w:val="center"/>
        </w:trPr>
        <w:tc>
          <w:tcPr>
            <w:tcW w:w="4169" w:type="dxa"/>
            <w:shd w:val="clear" w:color="auto" w:fill="auto"/>
          </w:tcPr>
          <w:p w14:paraId="0B11DD20" w14:textId="77777777" w:rsidR="00B823CB" w:rsidRPr="00F83101" w:rsidRDefault="00B823CB" w:rsidP="00B823CB">
            <w:pPr>
              <w:spacing w:after="0" w:line="240" w:lineRule="auto"/>
              <w:rPr>
                <w:rFonts w:eastAsia="Times New Roman" w:cs="Times New Roman"/>
                <w:spacing w:val="0"/>
              </w:rPr>
            </w:pPr>
            <w:r w:rsidRPr="00F83101">
              <w:rPr>
                <w:rFonts w:eastAsia="Times New Roman" w:cs="Times New Roman"/>
                <w:spacing w:val="0"/>
              </w:rPr>
              <w:t>The individual is under indictment or has pending charges, the pending charge is potentially disqualifying and is the primary issue in the case, or there is a high likelihood the individual will be incarcerated if convicted.</w:t>
            </w:r>
          </w:p>
        </w:tc>
        <w:tc>
          <w:tcPr>
            <w:tcW w:w="5276" w:type="dxa"/>
            <w:vMerge w:val="restart"/>
            <w:shd w:val="clear" w:color="auto" w:fill="auto"/>
            <w:vAlign w:val="center"/>
          </w:tcPr>
          <w:p w14:paraId="475CD12B" w14:textId="1E4ED06C" w:rsidR="00B823CB" w:rsidRPr="00F83101" w:rsidRDefault="00B823CB" w:rsidP="00B823CB">
            <w:pPr>
              <w:spacing w:after="0" w:line="240" w:lineRule="auto"/>
              <w:rPr>
                <w:rFonts w:eastAsia="Times New Roman" w:cs="Times New Roman"/>
                <w:spacing w:val="0"/>
              </w:rPr>
            </w:pPr>
            <w:r w:rsidRPr="00F83101">
              <w:rPr>
                <w:rFonts w:eastAsia="Times New Roman" w:cs="Times New Roman"/>
                <w:spacing w:val="0"/>
              </w:rPr>
              <w:t xml:space="preserve">Suitability or fitness cannot be assessed if there is insufficient evidence to </w:t>
            </w:r>
            <w:r w:rsidR="00DA2A5C" w:rsidRPr="00F83101">
              <w:rPr>
                <w:rFonts w:eastAsia="Times New Roman" w:cs="Times New Roman"/>
                <w:spacing w:val="0"/>
              </w:rPr>
              <w:t>evaluate the conduct and establish it by a preponderance of the evidence</w:t>
            </w:r>
            <w:r w:rsidRPr="00F83101">
              <w:rPr>
                <w:rFonts w:eastAsia="Times New Roman" w:cs="Times New Roman"/>
                <w:spacing w:val="0"/>
              </w:rPr>
              <w:t xml:space="preserve">. </w:t>
            </w:r>
            <w:r w:rsidR="00DA2A5C" w:rsidRPr="00F83101">
              <w:rPr>
                <w:rFonts w:eastAsia="Times New Roman" w:cs="Times New Roman"/>
                <w:spacing w:val="0"/>
              </w:rPr>
              <w:t xml:space="preserve">However, agencies have the option of considering whether to make a </w:t>
            </w:r>
            <w:r w:rsidR="00F83101" w:rsidRPr="00F83101">
              <w:rPr>
                <w:rFonts w:eastAsia="Times New Roman" w:cs="Times New Roman"/>
                <w:spacing w:val="0"/>
              </w:rPr>
              <w:t>risk-based</w:t>
            </w:r>
            <w:r w:rsidR="00DA2A5C" w:rsidRPr="00F83101">
              <w:rPr>
                <w:rFonts w:eastAsia="Times New Roman" w:cs="Times New Roman"/>
                <w:spacing w:val="0"/>
              </w:rPr>
              <w:t xml:space="preserve"> exception. See Volume 2 of this Manual.</w:t>
            </w:r>
          </w:p>
        </w:tc>
      </w:tr>
      <w:tr w:rsidR="00B823CB" w:rsidRPr="00B823CB" w14:paraId="59DBED92" w14:textId="77777777" w:rsidTr="00ED3CDE">
        <w:trPr>
          <w:jc w:val="center"/>
        </w:trPr>
        <w:tc>
          <w:tcPr>
            <w:tcW w:w="4169" w:type="dxa"/>
            <w:shd w:val="clear" w:color="auto" w:fill="auto"/>
          </w:tcPr>
          <w:p w14:paraId="4A16E80F" w14:textId="77777777" w:rsidR="00B823CB" w:rsidRPr="00F83101" w:rsidRDefault="00B823CB" w:rsidP="00B823CB">
            <w:pPr>
              <w:spacing w:after="0" w:line="240" w:lineRule="auto"/>
              <w:rPr>
                <w:rFonts w:eastAsia="Times New Roman" w:cs="Times New Roman"/>
                <w:spacing w:val="0"/>
              </w:rPr>
            </w:pPr>
            <w:r w:rsidRPr="00F83101">
              <w:rPr>
                <w:rFonts w:eastAsia="Times New Roman" w:cs="Times New Roman"/>
                <w:spacing w:val="0"/>
              </w:rPr>
              <w:t>The individual has an appeal or litigation concerning a prior termination pending (an appeal to MSPB or the court system, an EEOC complaint, etc.), and the following conditions apply: (1) the employment termination is the primary issue in the case and sufficient details to adjudicate cannot be obtained; or, (2) the actual conduct leading to the termination is being disputed and it is potentially disqualifying at face value.</w:t>
            </w:r>
          </w:p>
        </w:tc>
        <w:tc>
          <w:tcPr>
            <w:tcW w:w="5276" w:type="dxa"/>
            <w:vMerge/>
            <w:shd w:val="clear" w:color="auto" w:fill="auto"/>
          </w:tcPr>
          <w:p w14:paraId="6BD15CA4" w14:textId="77777777" w:rsidR="00B823CB" w:rsidRPr="00F83101" w:rsidRDefault="00B823CB" w:rsidP="00B823CB">
            <w:pPr>
              <w:spacing w:after="0" w:line="240" w:lineRule="auto"/>
              <w:rPr>
                <w:rFonts w:eastAsia="Times New Roman" w:cs="Times New Roman"/>
                <w:spacing w:val="0"/>
              </w:rPr>
            </w:pPr>
          </w:p>
        </w:tc>
      </w:tr>
      <w:tr w:rsidR="00B823CB" w:rsidRPr="00B823CB" w14:paraId="07B5593D" w14:textId="77777777" w:rsidTr="00ED3CDE">
        <w:trPr>
          <w:jc w:val="center"/>
        </w:trPr>
        <w:tc>
          <w:tcPr>
            <w:tcW w:w="4169" w:type="dxa"/>
            <w:shd w:val="clear" w:color="auto" w:fill="D9D9D9"/>
          </w:tcPr>
          <w:p w14:paraId="6535ECC1" w14:textId="77777777" w:rsidR="00B823CB" w:rsidRPr="00F83101" w:rsidRDefault="00B823CB" w:rsidP="00B823CB">
            <w:pPr>
              <w:spacing w:after="0" w:line="240" w:lineRule="auto"/>
              <w:rPr>
                <w:rFonts w:eastAsia="Times New Roman" w:cs="Times New Roman"/>
                <w:spacing w:val="0"/>
              </w:rPr>
            </w:pPr>
            <w:r w:rsidRPr="00F83101">
              <w:rPr>
                <w:rFonts w:eastAsia="Times New Roman" w:cs="Times New Roman"/>
                <w:spacing w:val="0"/>
              </w:rPr>
              <w:t>A statutory debarment is applicable.</w:t>
            </w:r>
          </w:p>
        </w:tc>
        <w:tc>
          <w:tcPr>
            <w:tcW w:w="5276" w:type="dxa"/>
            <w:shd w:val="clear" w:color="auto" w:fill="D9D9D9"/>
            <w:vAlign w:val="center"/>
          </w:tcPr>
          <w:p w14:paraId="60C88579" w14:textId="6CB8F46F" w:rsidR="00B823CB" w:rsidRPr="00F83101" w:rsidRDefault="00B823CB" w:rsidP="00B823CB">
            <w:pPr>
              <w:spacing w:after="0" w:line="240" w:lineRule="auto"/>
              <w:rPr>
                <w:rFonts w:eastAsia="Times New Roman" w:cs="Times New Roman"/>
                <w:spacing w:val="0"/>
              </w:rPr>
            </w:pPr>
            <w:r w:rsidRPr="00F83101">
              <w:rPr>
                <w:rFonts w:eastAsia="Times New Roman" w:cs="Times New Roman"/>
                <w:spacing w:val="0"/>
              </w:rPr>
              <w:t>Many statutory or regulatory bars are position- or agency-specific. When an issue appears to be subject to statutory or regulatory debarment, the adjudicator must research the legal authority from which that debarment is derived and consult agency legal offices, as needed, to ensure specified conditions are met and sufficient information about the conduct is available</w:t>
            </w:r>
            <w:r w:rsidR="00DA2A5C" w:rsidRPr="00F83101">
              <w:rPr>
                <w:rFonts w:eastAsia="Times New Roman" w:cs="Times New Roman"/>
                <w:spacing w:val="0"/>
              </w:rPr>
              <w:t>.</w:t>
            </w:r>
            <w:r w:rsidRPr="00F83101">
              <w:rPr>
                <w:rFonts w:eastAsia="Times New Roman" w:cs="Times New Roman"/>
                <w:spacing w:val="0"/>
              </w:rPr>
              <w:t xml:space="preserve"> If a statutory or regulatory debarment is required, the case should be processed in accordance with any governing procedures. While agencies can also take a </w:t>
            </w:r>
            <w:r w:rsidRPr="00F83101">
              <w:rPr>
                <w:rFonts w:eastAsia="Times New Roman" w:cs="Times New Roman"/>
                <w:spacing w:val="0"/>
              </w:rPr>
              <w:lastRenderedPageBreak/>
              <w:t xml:space="preserve">suitability action </w:t>
            </w:r>
            <w:r w:rsidR="00DA2A5C" w:rsidRPr="00F83101">
              <w:rPr>
                <w:rFonts w:eastAsia="Times New Roman" w:cs="Times New Roman"/>
                <w:spacing w:val="0"/>
              </w:rPr>
              <w:t xml:space="preserve">for competitive service or career Senior Executive Service positions </w:t>
            </w:r>
            <w:r w:rsidRPr="00F83101">
              <w:rPr>
                <w:rFonts w:eastAsia="Times New Roman" w:cs="Times New Roman"/>
                <w:spacing w:val="0"/>
              </w:rPr>
              <w:t xml:space="preserve">citing the factor: </w:t>
            </w:r>
            <w:r w:rsidRPr="00F83101">
              <w:rPr>
                <w:rFonts w:eastAsia="Times New Roman" w:cs="Times New Roman"/>
                <w:i/>
                <w:spacing w:val="0"/>
              </w:rPr>
              <w:t>Any statutory or regulatory bar which prevents the lawful employment of the person involved in the position in question</w:t>
            </w:r>
            <w:r w:rsidRPr="00F83101">
              <w:rPr>
                <w:rFonts w:eastAsia="Times New Roman" w:cs="Times New Roman"/>
                <w:spacing w:val="0"/>
              </w:rPr>
              <w:t>, it may be more efficient to process these situations as qualifications issues, if appropriate.</w:t>
            </w:r>
          </w:p>
        </w:tc>
      </w:tr>
    </w:tbl>
    <w:p w14:paraId="22912DE1" w14:textId="77777777" w:rsidR="00E07671" w:rsidRPr="00F83101" w:rsidRDefault="00E07671" w:rsidP="00960C35">
      <w:pPr>
        <w:spacing w:after="0" w:line="240" w:lineRule="auto"/>
        <w:rPr>
          <w:rFonts w:eastAsia="Times New Roman" w:cs="Times New Roman"/>
          <w:spacing w:val="0"/>
        </w:rPr>
      </w:pPr>
    </w:p>
    <w:p w14:paraId="6636D0F4" w14:textId="77777777" w:rsidR="00FF7248" w:rsidRDefault="00FF7248" w:rsidP="00960C35">
      <w:pPr>
        <w:spacing w:after="0" w:line="240" w:lineRule="auto"/>
        <w:rPr>
          <w:rFonts w:ascii="CG Times" w:eastAsia="Times New Roman" w:hAnsi="CG Times" w:cs="Times New Roman"/>
          <w:spacing w:val="0"/>
          <w:sz w:val="23"/>
          <w:szCs w:val="20"/>
        </w:rPr>
      </w:pPr>
    </w:p>
    <w:p w14:paraId="3BC3E2B5" w14:textId="6508DEA9" w:rsidR="00FF7248" w:rsidRPr="008D1968" w:rsidRDefault="00FF7248" w:rsidP="008D1968">
      <w:pPr>
        <w:pStyle w:val="Heading2"/>
        <w:rPr>
          <w:shd w:val="clear" w:color="auto" w:fill="FFFFFF"/>
        </w:rPr>
      </w:pPr>
      <w:bookmarkStart w:id="122" w:name="_Toc187924165"/>
      <w:r w:rsidRPr="548D0660">
        <w:rPr>
          <w:rStyle w:val="normaltextrun"/>
          <w:shd w:val="clear" w:color="auto" w:fill="FFFFFF"/>
        </w:rPr>
        <w:t>4.</w:t>
      </w:r>
      <w:r w:rsidR="00101EFA" w:rsidRPr="00101EFA">
        <w:rPr>
          <w:rStyle w:val="normaltextrun"/>
          <w:shd w:val="clear" w:color="auto" w:fill="FFFFFF"/>
        </w:rPr>
        <w:t>6</w:t>
      </w:r>
      <w:r w:rsidRPr="00101EFA">
        <w:rPr>
          <w:rStyle w:val="normaltextrun"/>
          <w:shd w:val="clear" w:color="auto" w:fill="FFFFFF"/>
        </w:rPr>
        <w:t xml:space="preserve"> </w:t>
      </w:r>
      <w:r w:rsidRPr="548D0660">
        <w:rPr>
          <w:rStyle w:val="normaltextrun"/>
          <w:shd w:val="clear" w:color="auto" w:fill="FFFFFF"/>
        </w:rPr>
        <w:t>– Adjudicative Processing of Uninvestigated Applicants</w:t>
      </w:r>
      <w:bookmarkEnd w:id="122"/>
    </w:p>
    <w:p w14:paraId="3C3BEC15" w14:textId="76972EEF" w:rsidR="00960C35" w:rsidRPr="007A154B" w:rsidRDefault="00960C35" w:rsidP="00960C35">
      <w:pPr>
        <w:spacing w:after="0" w:line="240" w:lineRule="auto"/>
        <w:rPr>
          <w:rFonts w:eastAsia="Times New Roman" w:cs="Times New Roman"/>
          <w:spacing w:val="0"/>
        </w:rPr>
      </w:pPr>
      <w:bookmarkStart w:id="123" w:name="_Adjudicative_Processing_of"/>
      <w:bookmarkEnd w:id="123"/>
      <w:r w:rsidRPr="007A154B">
        <w:rPr>
          <w:rFonts w:eastAsia="Times New Roman" w:cs="Times New Roman"/>
          <w:spacing w:val="0"/>
        </w:rPr>
        <w:t xml:space="preserve">In most instances of cases involving evidence of a potentially actionable issue, the adjudicator will need additional information about the known issue(s) to determine whether it is of suitability </w:t>
      </w:r>
      <w:r w:rsidR="00BC27D4" w:rsidRPr="007A154B">
        <w:rPr>
          <w:rFonts w:eastAsia="Times New Roman" w:cs="Times New Roman"/>
          <w:spacing w:val="0"/>
        </w:rPr>
        <w:t xml:space="preserve">or fitness </w:t>
      </w:r>
      <w:r w:rsidRPr="007A154B">
        <w:rPr>
          <w:rFonts w:eastAsia="Times New Roman" w:cs="Times New Roman"/>
          <w:spacing w:val="0"/>
        </w:rPr>
        <w:t>concern. For instance, if the agency knows the individual has been arrested but does not know the details or outcome of the arrest, there would be insufficient information available to determine whether the conduct may have a potential impact on the efficiency or integrity of the service.</w:t>
      </w:r>
      <w:r w:rsidR="00DA3D0F">
        <w:rPr>
          <w:rFonts w:eastAsia="Times New Roman" w:cs="Times New Roman"/>
          <w:spacing w:val="0"/>
        </w:rPr>
        <w:t xml:space="preserve"> </w:t>
      </w:r>
      <w:r w:rsidRPr="007A154B">
        <w:rPr>
          <w:rFonts w:eastAsia="Times New Roman" w:cs="Times New Roman"/>
          <w:spacing w:val="0"/>
        </w:rPr>
        <w:t>In accordance with 5 C</w:t>
      </w:r>
      <w:r w:rsidR="008A7703">
        <w:rPr>
          <w:rFonts w:eastAsia="Times New Roman" w:cs="Times New Roman"/>
          <w:spacing w:val="0"/>
        </w:rPr>
        <w:t>.</w:t>
      </w:r>
      <w:r w:rsidRPr="007A154B">
        <w:rPr>
          <w:rFonts w:eastAsia="Times New Roman" w:cs="Times New Roman"/>
          <w:spacing w:val="0"/>
        </w:rPr>
        <w:t>F</w:t>
      </w:r>
      <w:r w:rsidR="008A7703">
        <w:rPr>
          <w:rFonts w:eastAsia="Times New Roman" w:cs="Times New Roman"/>
          <w:spacing w:val="0"/>
        </w:rPr>
        <w:t>.</w:t>
      </w:r>
      <w:r w:rsidRPr="007A154B">
        <w:rPr>
          <w:rFonts w:eastAsia="Times New Roman" w:cs="Times New Roman"/>
          <w:spacing w:val="0"/>
        </w:rPr>
        <w:t>R</w:t>
      </w:r>
      <w:r w:rsidR="008A7703">
        <w:rPr>
          <w:rFonts w:eastAsia="Times New Roman" w:cs="Times New Roman"/>
          <w:spacing w:val="0"/>
        </w:rPr>
        <w:t>.</w:t>
      </w:r>
      <w:r w:rsidRPr="007A154B">
        <w:rPr>
          <w:rFonts w:eastAsia="Times New Roman" w:cs="Times New Roman"/>
          <w:spacing w:val="0"/>
        </w:rPr>
        <w:t xml:space="preserve"> </w:t>
      </w:r>
      <w:r w:rsidR="04B7C366" w:rsidRPr="548D0660">
        <w:rPr>
          <w:rFonts w:eastAsia="Times New Roman" w:cs="Times New Roman"/>
          <w:color w:val="000000" w:themeColor="text1"/>
        </w:rPr>
        <w:t>§</w:t>
      </w:r>
      <w:r w:rsidRPr="548D0660">
        <w:rPr>
          <w:rFonts w:eastAsia="Times New Roman" w:cs="Times New Roman"/>
          <w:color w:val="000000" w:themeColor="text1"/>
        </w:rPr>
        <w:t xml:space="preserve"> </w:t>
      </w:r>
      <w:r w:rsidRPr="007A154B">
        <w:rPr>
          <w:rFonts w:eastAsia="Times New Roman" w:cs="Times New Roman"/>
          <w:spacing w:val="0"/>
        </w:rPr>
        <w:t xml:space="preserve">731.106 (c)(3), if suitability or fitness issues develop prior to the required investigation, OPM or the agency may request investigation sufficient to resolve the issues. </w:t>
      </w:r>
    </w:p>
    <w:p w14:paraId="6BB21024" w14:textId="7596D9BD" w:rsidR="00BC27D4" w:rsidRPr="007A154B" w:rsidRDefault="00BC27D4" w:rsidP="00960C35">
      <w:pPr>
        <w:spacing w:after="0" w:line="240" w:lineRule="auto"/>
        <w:rPr>
          <w:rFonts w:eastAsia="Times New Roman" w:cs="Times New Roman"/>
          <w:spacing w:val="0"/>
        </w:rPr>
      </w:pPr>
    </w:p>
    <w:p w14:paraId="3395D021" w14:textId="4B152E17" w:rsidR="00960C35" w:rsidRPr="00D742DC" w:rsidRDefault="00960C35" w:rsidP="00960C35">
      <w:pPr>
        <w:spacing w:after="0" w:line="240" w:lineRule="auto"/>
        <w:rPr>
          <w:rFonts w:eastAsia="Times New Roman" w:cs="Times New Roman"/>
          <w:spacing w:val="0"/>
        </w:rPr>
      </w:pPr>
      <w:r w:rsidRPr="007A154B">
        <w:rPr>
          <w:rFonts w:eastAsia="Times New Roman" w:cs="Times New Roman"/>
          <w:spacing w:val="0"/>
        </w:rPr>
        <w:t xml:space="preserve">In order to obtain additional information about the known issue, the agency may wish to contact the individual directly to ask them for a statement or documentation related to the issue(s) of concern. In many cases, the individual may be able to provide additional information (verbally or in response to a written request) or can furnish documentation that will provide the details about the issue of concern. </w:t>
      </w:r>
      <w:r w:rsidR="008A7703">
        <w:rPr>
          <w:rFonts w:eastAsia="Times New Roman" w:cs="Times New Roman"/>
          <w:spacing w:val="0"/>
        </w:rPr>
        <w:t>As in all collection activities, w</w:t>
      </w:r>
      <w:r w:rsidRPr="007A154B">
        <w:rPr>
          <w:rFonts w:eastAsia="Times New Roman" w:cs="Times New Roman"/>
          <w:spacing w:val="0"/>
        </w:rPr>
        <w:t>hen collecting information from the individual, an adjudicator must have a basic understanding of</w:t>
      </w:r>
      <w:r w:rsidR="00441049">
        <w:rPr>
          <w:rFonts w:eastAsia="Times New Roman" w:cs="Times New Roman"/>
          <w:spacing w:val="0"/>
        </w:rPr>
        <w:t xml:space="preserve"> </w:t>
      </w:r>
      <w:r w:rsidRPr="00D742DC">
        <w:rPr>
          <w:rFonts w:eastAsia="Times New Roman" w:cs="Times New Roman"/>
          <w:spacing w:val="0"/>
        </w:rPr>
        <w:t xml:space="preserve">the Privacy Act as it relates to their agency’s maintenance of Privacy Act protected records and the pertinent system of records notice (SORN) published by the agency. Information collected that is subject to the Privacy Act must be maintained in accordance with the agency’s SORN. When collecting this information, agencies must advise the individual of the reason(s) for collecting the information, how it may be used, and the consequences, if any, of not providing the information. </w:t>
      </w:r>
    </w:p>
    <w:p w14:paraId="7700B68B" w14:textId="77777777" w:rsidR="002174D2" w:rsidRPr="00D742DC" w:rsidRDefault="002174D2" w:rsidP="00960C35">
      <w:pPr>
        <w:spacing w:after="0" w:line="240" w:lineRule="auto"/>
        <w:rPr>
          <w:rFonts w:eastAsia="Times New Roman" w:cs="Times New Roman"/>
          <w:spacing w:val="0"/>
        </w:rPr>
      </w:pPr>
    </w:p>
    <w:p w14:paraId="6CAED526" w14:textId="77777777" w:rsidR="00960C35" w:rsidRPr="00D742DC" w:rsidRDefault="00960C35" w:rsidP="2AEFA46C">
      <w:pPr>
        <w:spacing w:after="0" w:line="240" w:lineRule="auto"/>
        <w:rPr>
          <w:rFonts w:eastAsia="Times New Roman" w:cs="Times New Roman"/>
          <w:b/>
          <w:bCs/>
          <w:spacing w:val="0"/>
        </w:rPr>
      </w:pPr>
      <w:r w:rsidRPr="00D742DC">
        <w:rPr>
          <w:rFonts w:eastAsia="Times New Roman" w:cs="Times New Roman"/>
          <w:spacing w:val="0"/>
        </w:rPr>
        <w:t>Any time an individual is requested to provide information, the individual should be given a reasonable, specific timeframe within which to submit the requested information with a written notice that failure to respond could result in the offer of employment being withdrawn.</w:t>
      </w:r>
    </w:p>
    <w:p w14:paraId="099328F4" w14:textId="73FAF67F" w:rsidR="2AEFA46C" w:rsidRDefault="2AEFA46C" w:rsidP="2AEFA46C">
      <w:pPr>
        <w:spacing w:after="0" w:line="240" w:lineRule="auto"/>
        <w:rPr>
          <w:rFonts w:eastAsia="Times New Roman" w:cs="Times New Roman"/>
        </w:rPr>
      </w:pPr>
    </w:p>
    <w:p w14:paraId="0A341615" w14:textId="76EB978C" w:rsidR="00960C35" w:rsidRPr="00D742DC" w:rsidRDefault="00960C35" w:rsidP="00960C35">
      <w:pPr>
        <w:spacing w:after="0" w:line="240" w:lineRule="auto"/>
        <w:rPr>
          <w:rFonts w:eastAsia="Times New Roman" w:cs="Times New Roman"/>
          <w:spacing w:val="0"/>
        </w:rPr>
      </w:pPr>
      <w:r w:rsidRPr="00D742DC">
        <w:rPr>
          <w:rFonts w:eastAsia="Times New Roman" w:cs="Times New Roman"/>
          <w:spacing w:val="0"/>
        </w:rPr>
        <w:t xml:space="preserve">With regard to potentially disqualifying suitability or fitness issues, it is important to note that the individual’s admission to an issue on Federal forms, in and of itself, does not normally constitute sufficient evidence to support an unfavorable determination. If the individual has admitted a serious issue that appears to warrant negative action for suitability </w:t>
      </w:r>
      <w:r w:rsidR="00BC27D4" w:rsidRPr="00D742DC">
        <w:rPr>
          <w:rFonts w:eastAsia="Times New Roman" w:cs="Times New Roman"/>
          <w:spacing w:val="0"/>
        </w:rPr>
        <w:t xml:space="preserve">or fitness </w:t>
      </w:r>
      <w:r w:rsidRPr="00D742DC">
        <w:rPr>
          <w:rFonts w:eastAsia="Times New Roman" w:cs="Times New Roman"/>
          <w:spacing w:val="0"/>
        </w:rPr>
        <w:t>reasons, at a minimum, the agency should obtain a signed statement by the individual that fully outlines the details, circumstances, and outcome of the conduct. To meet evidentiary standards, in the event of a</w:t>
      </w:r>
      <w:r w:rsidR="00BC27D4" w:rsidRPr="00D742DC">
        <w:rPr>
          <w:rFonts w:eastAsia="Times New Roman" w:cs="Times New Roman"/>
          <w:spacing w:val="0"/>
        </w:rPr>
        <w:t xml:space="preserve"> suitability </w:t>
      </w:r>
      <w:r w:rsidRPr="00D742DC">
        <w:rPr>
          <w:rFonts w:eastAsia="Times New Roman" w:cs="Times New Roman"/>
          <w:spacing w:val="0"/>
        </w:rPr>
        <w:t xml:space="preserve">action and subsequent appeal, the statement must be </w:t>
      </w:r>
      <w:r w:rsidRPr="00D742DC">
        <w:rPr>
          <w:rFonts w:eastAsia="Times New Roman" w:cs="Times New Roman"/>
          <w:spacing w:val="0"/>
        </w:rPr>
        <w:lastRenderedPageBreak/>
        <w:t>witnessed by an agency official (or notarized). This option is only appropriate when the individual does not dispute the issue.</w:t>
      </w:r>
    </w:p>
    <w:p w14:paraId="39050F29" w14:textId="77777777" w:rsidR="002174D2" w:rsidRPr="00D742DC" w:rsidRDefault="002174D2" w:rsidP="00960C35">
      <w:pPr>
        <w:spacing w:after="0" w:line="240" w:lineRule="auto"/>
        <w:rPr>
          <w:rFonts w:eastAsia="Times New Roman" w:cs="Times New Roman"/>
          <w:spacing w:val="0"/>
        </w:rPr>
      </w:pPr>
    </w:p>
    <w:p w14:paraId="0B3FE019" w14:textId="287397F7" w:rsidR="00960C35" w:rsidRPr="00D742DC" w:rsidRDefault="00960C35" w:rsidP="00960C35">
      <w:pPr>
        <w:spacing w:after="0" w:line="240" w:lineRule="auto"/>
        <w:rPr>
          <w:rFonts w:eastAsia="Times New Roman" w:cs="Times New Roman"/>
          <w:spacing w:val="0"/>
        </w:rPr>
      </w:pPr>
      <w:r w:rsidRPr="00D742DC">
        <w:rPr>
          <w:rFonts w:eastAsia="Times New Roman" w:cs="Times New Roman"/>
          <w:spacing w:val="0"/>
        </w:rPr>
        <w:t>The adjudicator must have access to the basic duties and responsibilities for the position, as well as any special factors required for the position so as to appropriately assess the impact of any conduct. For example, several minor traffic violations are a potential issue because the job is a driver position.</w:t>
      </w:r>
    </w:p>
    <w:p w14:paraId="580548D6" w14:textId="77777777" w:rsidR="00BC27D4" w:rsidRPr="002174D2" w:rsidRDefault="00BC27D4" w:rsidP="00960C35">
      <w:pPr>
        <w:spacing w:after="0" w:line="240" w:lineRule="auto"/>
        <w:rPr>
          <w:rFonts w:ascii="Source Sans Pro" w:eastAsia="Times New Roman" w:hAnsi="Source Sans Pro" w:cs="Times New Roman"/>
          <w:spacing w:val="0"/>
        </w:rPr>
      </w:pPr>
    </w:p>
    <w:p w14:paraId="10B907E9" w14:textId="00EA9280" w:rsidR="00FF7248" w:rsidRDefault="00FF7248" w:rsidP="002A5117">
      <w:pPr>
        <w:pStyle w:val="Heading3"/>
        <w:rPr>
          <w:rFonts w:ascii="CG Times" w:eastAsia="Times New Roman" w:hAnsi="CG Times" w:cs="Times New Roman"/>
          <w:spacing w:val="0"/>
          <w:sz w:val="23"/>
          <w:szCs w:val="23"/>
        </w:rPr>
      </w:pPr>
      <w:bookmarkStart w:id="124" w:name="_Toc187052985"/>
      <w:bookmarkStart w:id="125" w:name="_Toc187924166"/>
      <w:bookmarkStart w:id="126" w:name="_Hlk185610969"/>
      <w:r w:rsidRPr="548D0660">
        <w:rPr>
          <w:rStyle w:val="normaltextrun"/>
          <w:shd w:val="clear" w:color="auto" w:fill="FFFFFF"/>
        </w:rPr>
        <w:t>4.</w:t>
      </w:r>
      <w:r w:rsidR="00101EFA" w:rsidRPr="548D0660">
        <w:rPr>
          <w:rStyle w:val="normaltextrun"/>
          <w:shd w:val="clear" w:color="auto" w:fill="FFFFFF"/>
        </w:rPr>
        <w:t>6</w:t>
      </w:r>
      <w:r w:rsidRPr="548D0660">
        <w:rPr>
          <w:rStyle w:val="normaltextrun"/>
          <w:shd w:val="clear" w:color="auto" w:fill="FFFFFF"/>
        </w:rPr>
        <w:t>.</w:t>
      </w:r>
      <w:r w:rsidR="002A5117" w:rsidRPr="002A5117">
        <w:rPr>
          <w:rStyle w:val="normaltextrun"/>
          <w:shd w:val="clear" w:color="auto" w:fill="FFFFFF"/>
        </w:rPr>
        <w:t>1</w:t>
      </w:r>
      <w:r w:rsidRPr="002A5117">
        <w:rPr>
          <w:rStyle w:val="normaltextrun"/>
          <w:shd w:val="clear" w:color="auto" w:fill="FFFFFF"/>
        </w:rPr>
        <w:t xml:space="preserve"> </w:t>
      </w:r>
      <w:r w:rsidRPr="548D0660">
        <w:rPr>
          <w:rStyle w:val="normaltextrun"/>
          <w:shd w:val="clear" w:color="auto" w:fill="FFFFFF"/>
        </w:rPr>
        <w:t>– No Issues of Concern</w:t>
      </w:r>
      <w:bookmarkEnd w:id="124"/>
      <w:bookmarkEnd w:id="125"/>
    </w:p>
    <w:bookmarkEnd w:id="126"/>
    <w:p w14:paraId="2C84E8F6" w14:textId="653F3A23" w:rsidR="00960C35" w:rsidRPr="009C61A1" w:rsidRDefault="00960C35" w:rsidP="00960C35">
      <w:pPr>
        <w:spacing w:after="0" w:line="240" w:lineRule="auto"/>
        <w:rPr>
          <w:rFonts w:eastAsia="Times New Roman" w:cs="Times New Roman"/>
          <w:spacing w:val="0"/>
        </w:rPr>
      </w:pPr>
      <w:r w:rsidRPr="009C61A1">
        <w:rPr>
          <w:rFonts w:eastAsia="Times New Roman" w:cs="Times New Roman"/>
          <w:b/>
          <w:spacing w:val="0"/>
        </w:rPr>
        <w:t xml:space="preserve">No Issues of Concern. </w:t>
      </w:r>
      <w:r w:rsidRPr="009C61A1">
        <w:rPr>
          <w:rFonts w:eastAsia="Times New Roman" w:cs="Times New Roman"/>
          <w:spacing w:val="0"/>
        </w:rPr>
        <w:t xml:space="preserve">If the suitability or fitness evaluation led to a conclusion there are no issues of concern or the issues have been resolved and/or mitigated through information obtained from the applicant, the required level of background investigation should be initiated, and if otherwise appropriate, the individual may be appointed. </w:t>
      </w:r>
      <w:r w:rsidR="00BC27D4" w:rsidRPr="009C61A1">
        <w:rPr>
          <w:rFonts w:eastAsia="Times New Roman" w:cs="Times New Roman"/>
          <w:spacing w:val="0"/>
        </w:rPr>
        <w:t xml:space="preserve">Agencies are encouraged to follow the ideal process of making a preliminary determination, as specified in </w:t>
      </w:r>
      <w:hyperlink w:anchor="_2.1_–_Preliminary" w:history="1">
        <w:r w:rsidR="00BC27D4" w:rsidRPr="007A154B">
          <w:rPr>
            <w:rStyle w:val="Hyperlink"/>
            <w:rFonts w:eastAsia="Times New Roman" w:cs="Times New Roman"/>
            <w:spacing w:val="0"/>
          </w:rPr>
          <w:t>Volume 2</w:t>
        </w:r>
      </w:hyperlink>
      <w:r w:rsidR="00BC27D4" w:rsidRPr="009C61A1">
        <w:rPr>
          <w:rFonts w:eastAsia="Times New Roman" w:cs="Times New Roman"/>
          <w:spacing w:val="0"/>
        </w:rPr>
        <w:t xml:space="preserve"> of this Manual, prior to onboarding. </w:t>
      </w:r>
      <w:r w:rsidRPr="009C61A1">
        <w:rPr>
          <w:rFonts w:eastAsia="Times New Roman" w:cs="Times New Roman"/>
          <w:spacing w:val="0"/>
        </w:rPr>
        <w:t>When submitting the request for the background investigation, the agency should provide to the Investigative Service Provider (ISP) any statement or documentation that was provided by the individual in response to a request by the agency</w:t>
      </w:r>
      <w:r w:rsidR="00BC27D4" w:rsidRPr="009C61A1">
        <w:rPr>
          <w:rFonts w:eastAsia="Times New Roman" w:cs="Times New Roman"/>
          <w:spacing w:val="0"/>
        </w:rPr>
        <w:t xml:space="preserve">, so the record can be included in the </w:t>
      </w:r>
      <w:r w:rsidR="00874A3F" w:rsidRPr="009C61A1">
        <w:rPr>
          <w:rFonts w:eastAsia="Times New Roman" w:cs="Times New Roman"/>
          <w:spacing w:val="0"/>
        </w:rPr>
        <w:t>federal personnel vetting record that is maintained in the government</w:t>
      </w:r>
      <w:r w:rsidR="00BB21FA">
        <w:rPr>
          <w:rFonts w:eastAsia="Times New Roman" w:cs="Times New Roman"/>
          <w:spacing w:val="0"/>
        </w:rPr>
        <w:t>-</w:t>
      </w:r>
      <w:r w:rsidR="00874A3F" w:rsidRPr="009C61A1">
        <w:rPr>
          <w:rFonts w:eastAsia="Times New Roman" w:cs="Times New Roman"/>
          <w:spacing w:val="0"/>
        </w:rPr>
        <w:t>wide repository</w:t>
      </w:r>
      <w:r w:rsidRPr="009C61A1">
        <w:rPr>
          <w:rFonts w:eastAsia="Times New Roman" w:cs="Times New Roman"/>
          <w:spacing w:val="0"/>
        </w:rPr>
        <w:t>.</w:t>
      </w:r>
    </w:p>
    <w:p w14:paraId="576FE857" w14:textId="77777777" w:rsidR="00874A3F" w:rsidRPr="009C61A1" w:rsidRDefault="00874A3F" w:rsidP="00960C35">
      <w:pPr>
        <w:spacing w:after="0" w:line="240" w:lineRule="auto"/>
        <w:rPr>
          <w:rFonts w:eastAsia="Times New Roman" w:cs="Times New Roman"/>
          <w:spacing w:val="0"/>
        </w:rPr>
      </w:pPr>
    </w:p>
    <w:p w14:paraId="01EA02F5" w14:textId="5C5C8C06" w:rsidR="00960C35" w:rsidRPr="009C61A1" w:rsidRDefault="00960C35" w:rsidP="00960C35">
      <w:pPr>
        <w:spacing w:after="0" w:line="240" w:lineRule="auto"/>
        <w:rPr>
          <w:rFonts w:eastAsia="Times New Roman" w:cs="Times New Roman"/>
          <w:spacing w:val="0"/>
        </w:rPr>
      </w:pPr>
      <w:r w:rsidRPr="009C61A1">
        <w:rPr>
          <w:rFonts w:eastAsia="Times New Roman" w:cs="Times New Roman"/>
          <w:spacing w:val="0"/>
        </w:rPr>
        <w:t>For cases with issues that were resolved or mitigated, the agency must maintain documentation to support how the conclusion was reached. The documentation should establish why the screening process was completed with no further action or, for cases that at face value appear to have warranted referral to OPM, why the case was not referred. This information must be made available to OPM in the event of an assessment.</w:t>
      </w:r>
    </w:p>
    <w:p w14:paraId="28CCA10B" w14:textId="77777777" w:rsidR="00874A3F" w:rsidRPr="009C61A1" w:rsidRDefault="00874A3F" w:rsidP="00960C35">
      <w:pPr>
        <w:spacing w:after="0" w:line="240" w:lineRule="auto"/>
        <w:rPr>
          <w:rFonts w:eastAsia="Times New Roman" w:cs="Times New Roman"/>
          <w:spacing w:val="0"/>
        </w:rPr>
      </w:pPr>
    </w:p>
    <w:p w14:paraId="0933EA38" w14:textId="15A1A8D8" w:rsidR="00874A3F" w:rsidRPr="009C61A1" w:rsidRDefault="00960C35" w:rsidP="00960C35">
      <w:pPr>
        <w:spacing w:after="0" w:line="240" w:lineRule="auto"/>
        <w:rPr>
          <w:rFonts w:eastAsia="Times New Roman" w:cs="Times New Roman"/>
          <w:spacing w:val="0"/>
        </w:rPr>
      </w:pPr>
      <w:r w:rsidRPr="009C61A1">
        <w:rPr>
          <w:rFonts w:eastAsia="Times New Roman" w:cs="Times New Roman"/>
          <w:spacing w:val="0"/>
        </w:rPr>
        <w:t>When the screening process is complete, appropriate notifications within the agency must be made, following agency policy, so the individual can move to the next step in the onboarding process.</w:t>
      </w:r>
      <w:r w:rsidR="00E323F0">
        <w:rPr>
          <w:rFonts w:eastAsia="Times New Roman" w:cs="Times New Roman"/>
          <w:spacing w:val="0"/>
        </w:rPr>
        <w:t xml:space="preserve"> </w:t>
      </w:r>
      <w:r w:rsidRPr="009C61A1">
        <w:rPr>
          <w:rFonts w:eastAsia="Times New Roman" w:cs="Times New Roman"/>
          <w:spacing w:val="-1"/>
        </w:rPr>
        <w:t xml:space="preserve">Though issues of suitability </w:t>
      </w:r>
      <w:r w:rsidR="00874A3F" w:rsidRPr="009C61A1">
        <w:rPr>
          <w:rFonts w:eastAsia="Times New Roman" w:cs="Times New Roman"/>
          <w:spacing w:val="-1"/>
        </w:rPr>
        <w:t xml:space="preserve">of fitness </w:t>
      </w:r>
      <w:r w:rsidRPr="009C61A1">
        <w:rPr>
          <w:rFonts w:eastAsia="Times New Roman" w:cs="Times New Roman"/>
          <w:spacing w:val="-1"/>
        </w:rPr>
        <w:t>concern may not present during screening and/or may be resolved or mitigated so as to let the individual continue through the onboarding process, this does not absolve the agency from the requirement to make a suitability or fitness determination upon receipt of the completed background investigation. If the results of the background investigation reveal suitability issues that warrant government</w:t>
      </w:r>
      <w:r w:rsidR="00BB21FA">
        <w:rPr>
          <w:rFonts w:eastAsia="Times New Roman" w:cs="Times New Roman"/>
          <w:spacing w:val="-1"/>
        </w:rPr>
        <w:t>-</w:t>
      </w:r>
      <w:r w:rsidRPr="009C61A1">
        <w:rPr>
          <w:rFonts w:eastAsia="Times New Roman" w:cs="Times New Roman"/>
          <w:spacing w:val="-1"/>
        </w:rPr>
        <w:t xml:space="preserve">wide action, such as material, intentional falsification, then referral to OPM is required. </w:t>
      </w:r>
      <w:r w:rsidRPr="009C61A1">
        <w:rPr>
          <w:rFonts w:eastAsia="Times New Roman" w:cs="Times New Roman"/>
          <w:spacing w:val="0"/>
        </w:rPr>
        <w:t xml:space="preserve">See </w:t>
      </w:r>
      <w:hyperlink w:anchor="_3.8.1_–_Adjudicative" w:history="1">
        <w:r w:rsidRPr="00592CAD">
          <w:rPr>
            <w:rStyle w:val="Hyperlink"/>
            <w:rFonts w:eastAsia="Times New Roman" w:cs="Arial"/>
            <w:spacing w:val="0"/>
          </w:rPr>
          <w:t xml:space="preserve">Volume </w:t>
        </w:r>
        <w:r w:rsidR="00874A3F" w:rsidRPr="00592CAD">
          <w:rPr>
            <w:rStyle w:val="Hyperlink"/>
            <w:rFonts w:eastAsia="Times New Roman" w:cs="Arial"/>
            <w:spacing w:val="0"/>
          </w:rPr>
          <w:t>3</w:t>
        </w:r>
      </w:hyperlink>
      <w:r w:rsidR="00874A3F" w:rsidRPr="009C61A1">
        <w:rPr>
          <w:rFonts w:eastAsia="Times New Roman" w:cs="Arial"/>
          <w:spacing w:val="0"/>
        </w:rPr>
        <w:t xml:space="preserve"> of this Manual for more information on the referral process</w:t>
      </w:r>
      <w:r w:rsidRPr="009C61A1">
        <w:rPr>
          <w:rFonts w:eastAsia="Times New Roman" w:cs="Times New Roman"/>
          <w:spacing w:val="0"/>
        </w:rPr>
        <w:t>.</w:t>
      </w:r>
    </w:p>
    <w:p w14:paraId="1343BD07" w14:textId="01934111" w:rsidR="00960C35" w:rsidRPr="009C61A1" w:rsidRDefault="00960C35" w:rsidP="00960C35">
      <w:pPr>
        <w:spacing w:after="0" w:line="240" w:lineRule="auto"/>
        <w:rPr>
          <w:rFonts w:eastAsia="Times New Roman" w:cs="Times New Roman"/>
          <w:spacing w:val="-1"/>
        </w:rPr>
      </w:pPr>
      <w:r w:rsidRPr="009C61A1">
        <w:rPr>
          <w:rFonts w:eastAsia="Times New Roman" w:cs="Times New Roman"/>
          <w:spacing w:val="-1"/>
        </w:rPr>
        <w:t xml:space="preserve"> </w:t>
      </w:r>
    </w:p>
    <w:p w14:paraId="28B760C5" w14:textId="18753CC2" w:rsidR="00960C35" w:rsidRPr="009C61A1" w:rsidRDefault="00960C35" w:rsidP="00960C35">
      <w:pPr>
        <w:spacing w:after="0" w:line="240" w:lineRule="auto"/>
        <w:rPr>
          <w:rFonts w:eastAsia="Times New Roman" w:cs="Times New Roman"/>
          <w:spacing w:val="-1"/>
        </w:rPr>
      </w:pPr>
      <w:r w:rsidRPr="009C61A1">
        <w:rPr>
          <w:rFonts w:eastAsia="Times New Roman" w:cs="Times New Roman"/>
          <w:spacing w:val="1"/>
        </w:rPr>
        <w:t xml:space="preserve">For individuals who proceed through screening and on to appointment, </w:t>
      </w:r>
      <w:r w:rsidRPr="009C61A1">
        <w:rPr>
          <w:rFonts w:eastAsia="Times New Roman" w:cs="Times New Roman"/>
          <w:spacing w:val="0"/>
        </w:rPr>
        <w:t>the</w:t>
      </w:r>
      <w:r w:rsidRPr="009C61A1">
        <w:rPr>
          <w:rFonts w:eastAsia="Times New Roman" w:cs="Times New Roman"/>
          <w:spacing w:val="-2"/>
        </w:rPr>
        <w:t xml:space="preserve"> </w:t>
      </w:r>
      <w:r w:rsidRPr="009C61A1">
        <w:rPr>
          <w:rFonts w:eastAsia="Times New Roman" w:cs="Times New Roman"/>
          <w:spacing w:val="0"/>
        </w:rPr>
        <w:t>OF 306</w:t>
      </w:r>
      <w:r w:rsidRPr="009C61A1">
        <w:rPr>
          <w:rFonts w:eastAsia="Times New Roman" w:cs="Times New Roman"/>
          <w:spacing w:val="-2"/>
        </w:rPr>
        <w:t xml:space="preserve"> </w:t>
      </w:r>
      <w:r w:rsidRPr="009C61A1">
        <w:rPr>
          <w:rFonts w:eastAsia="Times New Roman" w:cs="Times New Roman"/>
          <w:spacing w:val="-1"/>
        </w:rPr>
        <w:t>is</w:t>
      </w:r>
      <w:r w:rsidRPr="009C61A1">
        <w:rPr>
          <w:rFonts w:eastAsia="Times New Roman" w:cs="Times New Roman"/>
          <w:spacing w:val="1"/>
        </w:rPr>
        <w:t xml:space="preserve"> </w:t>
      </w:r>
      <w:r w:rsidRPr="009C61A1">
        <w:rPr>
          <w:rFonts w:eastAsia="Times New Roman" w:cs="Times New Roman"/>
          <w:spacing w:val="-1"/>
        </w:rPr>
        <w:t>completed</w:t>
      </w:r>
      <w:r w:rsidRPr="009C61A1">
        <w:rPr>
          <w:rFonts w:eastAsia="Times New Roman" w:cs="Times New Roman"/>
          <w:spacing w:val="0"/>
        </w:rPr>
        <w:t xml:space="preserve"> a</w:t>
      </w:r>
      <w:r w:rsidRPr="009C61A1">
        <w:rPr>
          <w:rFonts w:eastAsia="Times New Roman" w:cs="Times New Roman"/>
          <w:spacing w:val="-2"/>
        </w:rPr>
        <w:t xml:space="preserve"> </w:t>
      </w:r>
      <w:r w:rsidRPr="009C61A1">
        <w:rPr>
          <w:rFonts w:eastAsia="Times New Roman" w:cs="Times New Roman"/>
          <w:spacing w:val="-1"/>
        </w:rPr>
        <w:t>second</w:t>
      </w:r>
      <w:r w:rsidRPr="009C61A1">
        <w:rPr>
          <w:rFonts w:eastAsia="Times New Roman" w:cs="Times New Roman"/>
          <w:spacing w:val="27"/>
        </w:rPr>
        <w:t xml:space="preserve"> </w:t>
      </w:r>
      <w:r w:rsidRPr="009C61A1">
        <w:rPr>
          <w:rFonts w:eastAsia="Times New Roman" w:cs="Times New Roman"/>
          <w:spacing w:val="-1"/>
        </w:rPr>
        <w:t>time</w:t>
      </w:r>
      <w:r w:rsidRPr="009C61A1">
        <w:rPr>
          <w:rFonts w:eastAsia="Times New Roman" w:cs="Times New Roman"/>
          <w:spacing w:val="0"/>
        </w:rPr>
        <w:t xml:space="preserve"> on</w:t>
      </w:r>
      <w:r w:rsidRPr="009C61A1">
        <w:rPr>
          <w:rFonts w:eastAsia="Times New Roman" w:cs="Times New Roman"/>
          <w:spacing w:val="-2"/>
        </w:rPr>
        <w:t xml:space="preserve"> </w:t>
      </w:r>
      <w:r w:rsidRPr="009C61A1">
        <w:rPr>
          <w:rFonts w:eastAsia="Times New Roman" w:cs="Times New Roman"/>
          <w:spacing w:val="0"/>
        </w:rPr>
        <w:t>the</w:t>
      </w:r>
      <w:r w:rsidRPr="009C61A1">
        <w:rPr>
          <w:rFonts w:eastAsia="Times New Roman" w:cs="Times New Roman"/>
          <w:spacing w:val="-2"/>
        </w:rPr>
        <w:t xml:space="preserve"> </w:t>
      </w:r>
      <w:r w:rsidRPr="009C61A1">
        <w:rPr>
          <w:rFonts w:eastAsia="Times New Roman" w:cs="Times New Roman"/>
          <w:spacing w:val="-1"/>
        </w:rPr>
        <w:t>day</w:t>
      </w:r>
      <w:r w:rsidRPr="009C61A1">
        <w:rPr>
          <w:rFonts w:eastAsia="Times New Roman" w:cs="Times New Roman"/>
          <w:spacing w:val="-2"/>
        </w:rPr>
        <w:t xml:space="preserve"> </w:t>
      </w:r>
      <w:r w:rsidRPr="009C61A1">
        <w:rPr>
          <w:rFonts w:eastAsia="Times New Roman" w:cs="Times New Roman"/>
          <w:spacing w:val="0"/>
        </w:rPr>
        <w:t>the</w:t>
      </w:r>
      <w:r w:rsidRPr="009C61A1">
        <w:rPr>
          <w:rFonts w:eastAsia="Times New Roman" w:cs="Times New Roman"/>
          <w:spacing w:val="-2"/>
        </w:rPr>
        <w:t xml:space="preserve"> </w:t>
      </w:r>
      <w:r w:rsidRPr="009C61A1">
        <w:rPr>
          <w:rFonts w:eastAsia="Times New Roman" w:cs="Times New Roman"/>
          <w:spacing w:val="-1"/>
        </w:rPr>
        <w:t>individual is</w:t>
      </w:r>
      <w:r w:rsidRPr="009C61A1">
        <w:rPr>
          <w:rFonts w:eastAsia="Times New Roman" w:cs="Times New Roman"/>
          <w:spacing w:val="1"/>
        </w:rPr>
        <w:t xml:space="preserve"> </w:t>
      </w:r>
      <w:r w:rsidRPr="009C61A1">
        <w:rPr>
          <w:rFonts w:eastAsia="Times New Roman" w:cs="Times New Roman"/>
          <w:spacing w:val="-1"/>
        </w:rPr>
        <w:t>appointed.</w:t>
      </w:r>
      <w:r w:rsidR="001F3190">
        <w:rPr>
          <w:rFonts w:eastAsia="Times New Roman" w:cs="Times New Roman"/>
          <w:spacing w:val="61"/>
        </w:rPr>
        <w:t xml:space="preserve"> </w:t>
      </w:r>
      <w:r w:rsidRPr="009C61A1">
        <w:rPr>
          <w:rFonts w:eastAsia="Times New Roman" w:cs="Times New Roman"/>
          <w:spacing w:val="-2"/>
        </w:rPr>
        <w:t>At</w:t>
      </w:r>
      <w:r w:rsidRPr="009C61A1">
        <w:rPr>
          <w:rFonts w:eastAsia="Times New Roman" w:cs="Times New Roman"/>
          <w:spacing w:val="25"/>
        </w:rPr>
        <w:t xml:space="preserve"> </w:t>
      </w:r>
      <w:r w:rsidRPr="009C61A1">
        <w:rPr>
          <w:rFonts w:eastAsia="Times New Roman" w:cs="Times New Roman"/>
          <w:spacing w:val="-1"/>
        </w:rPr>
        <w:t xml:space="preserve">that time, </w:t>
      </w:r>
      <w:r w:rsidRPr="009C61A1">
        <w:rPr>
          <w:rFonts w:eastAsia="Times New Roman" w:cs="Times New Roman"/>
          <w:spacing w:val="0"/>
        </w:rPr>
        <w:t>the</w:t>
      </w:r>
      <w:r w:rsidRPr="009C61A1">
        <w:rPr>
          <w:rFonts w:eastAsia="Times New Roman" w:cs="Times New Roman"/>
          <w:spacing w:val="-2"/>
        </w:rPr>
        <w:t xml:space="preserve"> </w:t>
      </w:r>
      <w:r w:rsidRPr="009C61A1">
        <w:rPr>
          <w:rFonts w:eastAsia="Times New Roman" w:cs="Times New Roman"/>
          <w:spacing w:val="-1"/>
        </w:rPr>
        <w:t>individual</w:t>
      </w:r>
      <w:r w:rsidRPr="009C61A1">
        <w:rPr>
          <w:rFonts w:eastAsia="Times New Roman" w:cs="Times New Roman"/>
          <w:spacing w:val="0"/>
        </w:rPr>
        <w:t xml:space="preserve"> </w:t>
      </w:r>
      <w:r w:rsidRPr="009C61A1">
        <w:rPr>
          <w:rFonts w:eastAsia="Times New Roman" w:cs="Times New Roman"/>
          <w:spacing w:val="-1"/>
        </w:rPr>
        <w:t>updates</w:t>
      </w:r>
      <w:r w:rsidRPr="009C61A1">
        <w:rPr>
          <w:rFonts w:eastAsia="Times New Roman" w:cs="Times New Roman"/>
          <w:spacing w:val="-2"/>
        </w:rPr>
        <w:t xml:space="preserve"> </w:t>
      </w:r>
      <w:r w:rsidRPr="009C61A1">
        <w:rPr>
          <w:rFonts w:eastAsia="Times New Roman" w:cs="Times New Roman"/>
          <w:spacing w:val="0"/>
        </w:rPr>
        <w:t>the</w:t>
      </w:r>
      <w:r w:rsidRPr="009C61A1">
        <w:rPr>
          <w:rFonts w:eastAsia="Times New Roman" w:cs="Times New Roman"/>
          <w:spacing w:val="-2"/>
        </w:rPr>
        <w:t xml:space="preserve"> </w:t>
      </w:r>
      <w:r w:rsidRPr="009C61A1">
        <w:rPr>
          <w:rFonts w:eastAsia="Times New Roman" w:cs="Times New Roman"/>
          <w:spacing w:val="-1"/>
        </w:rPr>
        <w:t>form and</w:t>
      </w:r>
      <w:r w:rsidRPr="009C61A1">
        <w:rPr>
          <w:rFonts w:eastAsia="Times New Roman" w:cs="Times New Roman"/>
          <w:spacing w:val="25"/>
        </w:rPr>
        <w:t xml:space="preserve"> </w:t>
      </w:r>
      <w:r w:rsidRPr="009C61A1">
        <w:rPr>
          <w:rFonts w:eastAsia="Times New Roman" w:cs="Times New Roman"/>
          <w:spacing w:val="-1"/>
        </w:rPr>
        <w:t>certifies</w:t>
      </w:r>
      <w:r w:rsidRPr="009C61A1">
        <w:rPr>
          <w:rFonts w:eastAsia="Times New Roman" w:cs="Times New Roman"/>
          <w:spacing w:val="-2"/>
        </w:rPr>
        <w:t xml:space="preserve"> </w:t>
      </w:r>
      <w:r w:rsidRPr="009C61A1">
        <w:rPr>
          <w:rFonts w:eastAsia="Times New Roman" w:cs="Times New Roman"/>
          <w:spacing w:val="-1"/>
        </w:rPr>
        <w:t>it</w:t>
      </w:r>
      <w:r w:rsidRPr="009C61A1">
        <w:rPr>
          <w:rFonts w:eastAsia="Times New Roman" w:cs="Times New Roman"/>
          <w:spacing w:val="2"/>
        </w:rPr>
        <w:t xml:space="preserve"> </w:t>
      </w:r>
      <w:r w:rsidRPr="009C61A1">
        <w:rPr>
          <w:rFonts w:eastAsia="Times New Roman" w:cs="Times New Roman"/>
          <w:spacing w:val="0"/>
        </w:rPr>
        <w:t>on</w:t>
      </w:r>
      <w:r w:rsidRPr="009C61A1">
        <w:rPr>
          <w:rFonts w:eastAsia="Times New Roman" w:cs="Times New Roman"/>
          <w:spacing w:val="-2"/>
        </w:rPr>
        <w:t xml:space="preserve"> </w:t>
      </w:r>
      <w:r w:rsidRPr="009C61A1">
        <w:rPr>
          <w:rFonts w:eastAsia="Times New Roman" w:cs="Times New Roman"/>
          <w:spacing w:val="0"/>
        </w:rPr>
        <w:t>the</w:t>
      </w:r>
      <w:r w:rsidRPr="009C61A1">
        <w:rPr>
          <w:rFonts w:eastAsia="Times New Roman" w:cs="Times New Roman"/>
          <w:spacing w:val="-2"/>
        </w:rPr>
        <w:t xml:space="preserve"> </w:t>
      </w:r>
      <w:r w:rsidRPr="009C61A1">
        <w:rPr>
          <w:rFonts w:eastAsia="Times New Roman" w:cs="Times New Roman"/>
          <w:spacing w:val="-1"/>
        </w:rPr>
        <w:t>Appointee</w:t>
      </w:r>
      <w:r w:rsidRPr="009C61A1">
        <w:rPr>
          <w:rFonts w:eastAsia="Times New Roman" w:cs="Times New Roman"/>
          <w:spacing w:val="0"/>
        </w:rPr>
        <w:t xml:space="preserve"> </w:t>
      </w:r>
      <w:r w:rsidRPr="009C61A1">
        <w:rPr>
          <w:rFonts w:eastAsia="Times New Roman" w:cs="Times New Roman"/>
          <w:spacing w:val="-1"/>
        </w:rPr>
        <w:t>line.</w:t>
      </w:r>
      <w:r w:rsidR="001F3190">
        <w:rPr>
          <w:rFonts w:eastAsia="Times New Roman" w:cs="Times New Roman"/>
          <w:spacing w:val="61"/>
        </w:rPr>
        <w:t xml:space="preserve"> </w:t>
      </w:r>
      <w:r w:rsidRPr="009C61A1">
        <w:rPr>
          <w:rFonts w:eastAsia="Times New Roman" w:cs="Times New Roman"/>
          <w:spacing w:val="-1"/>
        </w:rPr>
        <w:t xml:space="preserve">If </w:t>
      </w:r>
      <w:r w:rsidRPr="009C61A1">
        <w:rPr>
          <w:rFonts w:eastAsia="Times New Roman" w:cs="Times New Roman"/>
          <w:spacing w:val="0"/>
        </w:rPr>
        <w:t>the</w:t>
      </w:r>
      <w:r w:rsidRPr="009C61A1">
        <w:rPr>
          <w:rFonts w:eastAsia="Times New Roman" w:cs="Times New Roman"/>
          <w:spacing w:val="21"/>
        </w:rPr>
        <w:t xml:space="preserve"> </w:t>
      </w:r>
      <w:r w:rsidRPr="009C61A1">
        <w:rPr>
          <w:rFonts w:eastAsia="Times New Roman" w:cs="Times New Roman"/>
          <w:spacing w:val="-1"/>
        </w:rPr>
        <w:t xml:space="preserve">individual </w:t>
      </w:r>
      <w:r w:rsidRPr="009C61A1">
        <w:rPr>
          <w:rFonts w:eastAsia="Times New Roman" w:cs="Times New Roman"/>
          <w:spacing w:val="0"/>
        </w:rPr>
        <w:t>reports</w:t>
      </w:r>
      <w:r w:rsidRPr="009C61A1">
        <w:rPr>
          <w:rFonts w:eastAsia="Times New Roman" w:cs="Times New Roman"/>
          <w:spacing w:val="-2"/>
        </w:rPr>
        <w:t xml:space="preserve"> </w:t>
      </w:r>
      <w:r w:rsidRPr="009C61A1">
        <w:rPr>
          <w:rFonts w:eastAsia="Times New Roman" w:cs="Times New Roman"/>
          <w:spacing w:val="-1"/>
        </w:rPr>
        <w:t>information</w:t>
      </w:r>
      <w:r w:rsidRPr="009C61A1">
        <w:rPr>
          <w:rFonts w:eastAsia="Times New Roman" w:cs="Times New Roman"/>
          <w:spacing w:val="0"/>
        </w:rPr>
        <w:t xml:space="preserve"> </w:t>
      </w:r>
      <w:r w:rsidRPr="009C61A1">
        <w:rPr>
          <w:rFonts w:eastAsia="Times New Roman" w:cs="Times New Roman"/>
          <w:spacing w:val="-1"/>
        </w:rPr>
        <w:t>that</w:t>
      </w:r>
      <w:r w:rsidRPr="009C61A1">
        <w:rPr>
          <w:rFonts w:eastAsia="Times New Roman" w:cs="Times New Roman"/>
          <w:spacing w:val="2"/>
        </w:rPr>
        <w:t xml:space="preserve"> </w:t>
      </w:r>
      <w:r w:rsidRPr="009C61A1">
        <w:rPr>
          <w:rFonts w:eastAsia="Times New Roman" w:cs="Times New Roman"/>
          <w:spacing w:val="-2"/>
        </w:rPr>
        <w:t>was</w:t>
      </w:r>
      <w:r w:rsidRPr="009C61A1">
        <w:rPr>
          <w:rFonts w:eastAsia="Times New Roman" w:cs="Times New Roman"/>
          <w:spacing w:val="0"/>
        </w:rPr>
        <w:t xml:space="preserve"> not</w:t>
      </w:r>
      <w:r w:rsidRPr="009C61A1">
        <w:rPr>
          <w:rFonts w:eastAsia="Times New Roman" w:cs="Times New Roman"/>
          <w:spacing w:val="-1"/>
        </w:rPr>
        <w:t xml:space="preserve"> listed</w:t>
      </w:r>
      <w:r w:rsidRPr="009C61A1">
        <w:rPr>
          <w:rFonts w:eastAsia="Times New Roman" w:cs="Times New Roman"/>
          <w:spacing w:val="23"/>
        </w:rPr>
        <w:t xml:space="preserve"> </w:t>
      </w:r>
      <w:r w:rsidRPr="009C61A1">
        <w:rPr>
          <w:rFonts w:eastAsia="Times New Roman" w:cs="Times New Roman"/>
          <w:spacing w:val="-2"/>
        </w:rPr>
        <w:t>when</w:t>
      </w:r>
      <w:r w:rsidRPr="009C61A1">
        <w:rPr>
          <w:rFonts w:eastAsia="Times New Roman" w:cs="Times New Roman"/>
          <w:spacing w:val="0"/>
        </w:rPr>
        <w:t xml:space="preserve"> the</w:t>
      </w:r>
      <w:r w:rsidRPr="009C61A1">
        <w:rPr>
          <w:rFonts w:eastAsia="Times New Roman" w:cs="Times New Roman"/>
          <w:spacing w:val="-2"/>
        </w:rPr>
        <w:t xml:space="preserve"> </w:t>
      </w:r>
      <w:r w:rsidRPr="009C61A1">
        <w:rPr>
          <w:rFonts w:eastAsia="Times New Roman" w:cs="Times New Roman"/>
          <w:spacing w:val="0"/>
        </w:rPr>
        <w:t>form</w:t>
      </w:r>
      <w:r w:rsidRPr="009C61A1">
        <w:rPr>
          <w:rFonts w:eastAsia="Times New Roman" w:cs="Times New Roman"/>
          <w:spacing w:val="-1"/>
        </w:rPr>
        <w:t xml:space="preserve"> </w:t>
      </w:r>
      <w:r w:rsidRPr="009C61A1">
        <w:rPr>
          <w:rFonts w:eastAsia="Times New Roman" w:cs="Times New Roman"/>
          <w:spacing w:val="-2"/>
        </w:rPr>
        <w:t>was</w:t>
      </w:r>
      <w:r w:rsidRPr="009C61A1">
        <w:rPr>
          <w:rFonts w:eastAsia="Times New Roman" w:cs="Times New Roman"/>
          <w:spacing w:val="0"/>
        </w:rPr>
        <w:t xml:space="preserve"> </w:t>
      </w:r>
      <w:r w:rsidRPr="009C61A1">
        <w:rPr>
          <w:rFonts w:eastAsia="Times New Roman" w:cs="Times New Roman"/>
          <w:spacing w:val="-1"/>
        </w:rPr>
        <w:t>completed</w:t>
      </w:r>
      <w:r w:rsidRPr="009C61A1">
        <w:rPr>
          <w:rFonts w:eastAsia="Times New Roman" w:cs="Times New Roman"/>
          <w:spacing w:val="0"/>
        </w:rPr>
        <w:t xml:space="preserve"> the</w:t>
      </w:r>
      <w:r w:rsidRPr="009C61A1">
        <w:rPr>
          <w:rFonts w:eastAsia="Times New Roman" w:cs="Times New Roman"/>
          <w:spacing w:val="-5"/>
        </w:rPr>
        <w:t xml:space="preserve"> </w:t>
      </w:r>
      <w:r w:rsidRPr="009C61A1">
        <w:rPr>
          <w:rFonts w:eastAsia="Times New Roman" w:cs="Times New Roman"/>
          <w:spacing w:val="-1"/>
        </w:rPr>
        <w:t xml:space="preserve">first time, </w:t>
      </w:r>
      <w:r w:rsidRPr="009C61A1">
        <w:rPr>
          <w:rFonts w:eastAsia="Times New Roman" w:cs="Times New Roman"/>
          <w:spacing w:val="0"/>
        </w:rPr>
        <w:t>the</w:t>
      </w:r>
      <w:r w:rsidRPr="009C61A1">
        <w:rPr>
          <w:rFonts w:eastAsia="Times New Roman" w:cs="Times New Roman"/>
          <w:spacing w:val="33"/>
        </w:rPr>
        <w:t xml:space="preserve"> </w:t>
      </w:r>
      <w:r w:rsidRPr="009C61A1">
        <w:rPr>
          <w:rFonts w:eastAsia="Times New Roman" w:cs="Times New Roman"/>
          <w:spacing w:val="-1"/>
        </w:rPr>
        <w:t>agency</w:t>
      </w:r>
      <w:r w:rsidRPr="009C61A1">
        <w:rPr>
          <w:rFonts w:eastAsia="Times New Roman" w:cs="Times New Roman"/>
          <w:spacing w:val="1"/>
        </w:rPr>
        <w:t xml:space="preserve"> </w:t>
      </w:r>
      <w:r w:rsidRPr="009C61A1">
        <w:rPr>
          <w:rFonts w:eastAsia="Times New Roman" w:cs="Times New Roman"/>
          <w:spacing w:val="-1"/>
        </w:rPr>
        <w:t>adjudicator should</w:t>
      </w:r>
      <w:r w:rsidRPr="009C61A1">
        <w:rPr>
          <w:rFonts w:eastAsia="Times New Roman" w:cs="Times New Roman"/>
          <w:spacing w:val="0"/>
        </w:rPr>
        <w:t xml:space="preserve"> assess</w:t>
      </w:r>
      <w:r w:rsidRPr="009C61A1">
        <w:rPr>
          <w:rFonts w:eastAsia="Times New Roman" w:cs="Times New Roman"/>
          <w:spacing w:val="27"/>
        </w:rPr>
        <w:t xml:space="preserve"> </w:t>
      </w:r>
      <w:r w:rsidRPr="009C61A1">
        <w:rPr>
          <w:rFonts w:eastAsia="Times New Roman" w:cs="Times New Roman"/>
          <w:spacing w:val="-1"/>
        </w:rPr>
        <w:t>whether</w:t>
      </w:r>
      <w:r w:rsidRPr="009C61A1">
        <w:rPr>
          <w:rFonts w:eastAsia="Times New Roman" w:cs="Times New Roman"/>
          <w:spacing w:val="1"/>
        </w:rPr>
        <w:t xml:space="preserve"> </w:t>
      </w:r>
      <w:r w:rsidRPr="009C61A1">
        <w:rPr>
          <w:rFonts w:eastAsia="Times New Roman" w:cs="Times New Roman"/>
          <w:spacing w:val="0"/>
        </w:rPr>
        <w:t xml:space="preserve">a </w:t>
      </w:r>
      <w:r w:rsidRPr="009C61A1">
        <w:rPr>
          <w:rFonts w:eastAsia="Times New Roman" w:cs="Times New Roman"/>
          <w:spacing w:val="-1"/>
        </w:rPr>
        <w:t>potential</w:t>
      </w:r>
      <w:r w:rsidRPr="009C61A1">
        <w:rPr>
          <w:rFonts w:eastAsia="Times New Roman" w:cs="Times New Roman"/>
          <w:spacing w:val="-3"/>
        </w:rPr>
        <w:t xml:space="preserve"> </w:t>
      </w:r>
      <w:r w:rsidRPr="009C61A1">
        <w:rPr>
          <w:rFonts w:eastAsia="Times New Roman" w:cs="Times New Roman"/>
          <w:spacing w:val="-1"/>
        </w:rPr>
        <w:t>material,</w:t>
      </w:r>
      <w:r w:rsidRPr="009C61A1">
        <w:rPr>
          <w:rFonts w:eastAsia="Times New Roman" w:cs="Times New Roman"/>
          <w:spacing w:val="2"/>
        </w:rPr>
        <w:t xml:space="preserve"> </w:t>
      </w:r>
      <w:r w:rsidRPr="009C61A1">
        <w:rPr>
          <w:rFonts w:eastAsia="Times New Roman" w:cs="Times New Roman"/>
          <w:spacing w:val="-1"/>
        </w:rPr>
        <w:t>intentional</w:t>
      </w:r>
      <w:r w:rsidRPr="009C61A1">
        <w:rPr>
          <w:rFonts w:eastAsia="Times New Roman" w:cs="Times New Roman"/>
          <w:spacing w:val="-3"/>
        </w:rPr>
        <w:t xml:space="preserve"> </w:t>
      </w:r>
      <w:r w:rsidRPr="009C61A1">
        <w:rPr>
          <w:rFonts w:eastAsia="Times New Roman" w:cs="Times New Roman"/>
          <w:spacing w:val="0"/>
        </w:rPr>
        <w:t>false</w:t>
      </w:r>
      <w:r w:rsidRPr="009C61A1">
        <w:rPr>
          <w:rFonts w:eastAsia="Times New Roman" w:cs="Times New Roman"/>
          <w:spacing w:val="23"/>
        </w:rPr>
        <w:t xml:space="preserve"> </w:t>
      </w:r>
      <w:r w:rsidRPr="009C61A1">
        <w:rPr>
          <w:rFonts w:eastAsia="Times New Roman" w:cs="Times New Roman"/>
          <w:spacing w:val="-1"/>
        </w:rPr>
        <w:t xml:space="preserve">statement </w:t>
      </w:r>
      <w:r w:rsidRPr="009C61A1">
        <w:rPr>
          <w:rFonts w:eastAsia="Times New Roman" w:cs="Times New Roman"/>
          <w:spacing w:val="-2"/>
        </w:rPr>
        <w:t>was</w:t>
      </w:r>
      <w:r w:rsidRPr="009C61A1">
        <w:rPr>
          <w:rFonts w:eastAsia="Times New Roman" w:cs="Times New Roman"/>
          <w:spacing w:val="0"/>
        </w:rPr>
        <w:t xml:space="preserve"> </w:t>
      </w:r>
      <w:r w:rsidRPr="009C61A1">
        <w:rPr>
          <w:rFonts w:eastAsia="Times New Roman" w:cs="Times New Roman"/>
          <w:spacing w:val="-1"/>
        </w:rPr>
        <w:t>made on the original OF</w:t>
      </w:r>
      <w:r w:rsidRPr="009C61A1">
        <w:rPr>
          <w:rFonts w:eastAsia="Times New Roman" w:cs="Times New Roman"/>
          <w:spacing w:val="-2"/>
        </w:rPr>
        <w:t xml:space="preserve"> </w:t>
      </w:r>
      <w:r w:rsidRPr="009C61A1">
        <w:rPr>
          <w:rFonts w:eastAsia="Times New Roman" w:cs="Times New Roman"/>
          <w:spacing w:val="-1"/>
        </w:rPr>
        <w:t>306.</w:t>
      </w:r>
      <w:r w:rsidRPr="009C61A1">
        <w:rPr>
          <w:rFonts w:eastAsia="Times New Roman" w:cs="Times New Roman"/>
          <w:spacing w:val="0"/>
        </w:rPr>
        <w:t xml:space="preserve"> </w:t>
      </w:r>
      <w:r w:rsidRPr="009C61A1">
        <w:rPr>
          <w:rFonts w:eastAsia="Times New Roman" w:cs="Times New Roman"/>
          <w:spacing w:val="-1"/>
        </w:rPr>
        <w:t xml:space="preserve">If </w:t>
      </w:r>
      <w:r w:rsidRPr="009C61A1">
        <w:rPr>
          <w:rFonts w:eastAsia="Times New Roman" w:cs="Times New Roman"/>
          <w:spacing w:val="0"/>
        </w:rPr>
        <w:t>so,</w:t>
      </w:r>
      <w:r w:rsidRPr="009C61A1">
        <w:rPr>
          <w:rFonts w:eastAsia="Times New Roman" w:cs="Times New Roman"/>
          <w:spacing w:val="-1"/>
        </w:rPr>
        <w:t xml:space="preserve"> </w:t>
      </w:r>
      <w:r w:rsidRPr="009C61A1">
        <w:rPr>
          <w:rFonts w:eastAsia="Times New Roman" w:cs="Times New Roman"/>
          <w:spacing w:val="0"/>
        </w:rPr>
        <w:t>a referral to</w:t>
      </w:r>
      <w:r w:rsidRPr="009C61A1">
        <w:rPr>
          <w:rFonts w:eastAsia="Times New Roman" w:cs="Times New Roman"/>
          <w:spacing w:val="-2"/>
        </w:rPr>
        <w:t xml:space="preserve"> OPM is warranted</w:t>
      </w:r>
      <w:r w:rsidR="00874A3F" w:rsidRPr="009C61A1">
        <w:rPr>
          <w:rFonts w:eastAsia="Times New Roman" w:cs="Times New Roman"/>
          <w:spacing w:val="-2"/>
        </w:rPr>
        <w:t xml:space="preserve"> if the position is competitive service or career Senior Executive Service</w:t>
      </w:r>
      <w:r w:rsidRPr="009C61A1">
        <w:rPr>
          <w:rFonts w:eastAsia="Times New Roman" w:cs="Times New Roman"/>
          <w:spacing w:val="-2"/>
        </w:rPr>
        <w:t xml:space="preserve">. </w:t>
      </w:r>
      <w:r w:rsidRPr="009C61A1">
        <w:rPr>
          <w:rFonts w:eastAsia="Times New Roman" w:cs="Times New Roman"/>
          <w:spacing w:val="-1"/>
        </w:rPr>
        <w:t>Because the individual has been appointed, the required level of investigation must be initiated by the agency; however, OPM will review the referral to determine the appropriate next steps.</w:t>
      </w:r>
    </w:p>
    <w:p w14:paraId="458EFF1A" w14:textId="77777777" w:rsidR="00874A3F" w:rsidRPr="009C61A1" w:rsidRDefault="00874A3F" w:rsidP="00960C35">
      <w:pPr>
        <w:spacing w:after="0" w:line="240" w:lineRule="auto"/>
        <w:rPr>
          <w:rFonts w:eastAsia="Times New Roman" w:cs="Times New Roman"/>
          <w:spacing w:val="-1"/>
        </w:rPr>
      </w:pPr>
    </w:p>
    <w:p w14:paraId="1E0828BE" w14:textId="64A8AF66" w:rsidR="00960C35" w:rsidRPr="009C61A1" w:rsidRDefault="00960C35" w:rsidP="00960C35">
      <w:pPr>
        <w:spacing w:after="0" w:line="240" w:lineRule="auto"/>
        <w:rPr>
          <w:rFonts w:eastAsia="Times New Roman" w:cs="Times New Roman"/>
          <w:spacing w:val="-2"/>
        </w:rPr>
      </w:pPr>
      <w:r w:rsidRPr="009C61A1">
        <w:rPr>
          <w:rFonts w:eastAsia="Times New Roman" w:cs="Times New Roman"/>
          <w:spacing w:val="-1"/>
        </w:rPr>
        <w:t>Likewise,</w:t>
      </w:r>
      <w:r w:rsidRPr="009C61A1">
        <w:rPr>
          <w:rFonts w:eastAsia="Times New Roman" w:cs="Times New Roman"/>
          <w:spacing w:val="1"/>
        </w:rPr>
        <w:t xml:space="preserve"> if the agency elects to have the individual complete </w:t>
      </w:r>
      <w:r w:rsidRPr="009C61A1">
        <w:rPr>
          <w:rFonts w:eastAsia="Times New Roman" w:cs="Times New Roman"/>
          <w:spacing w:val="0"/>
        </w:rPr>
        <w:t>the</w:t>
      </w:r>
      <w:r w:rsidRPr="009C61A1">
        <w:rPr>
          <w:rFonts w:eastAsia="Times New Roman" w:cs="Times New Roman"/>
          <w:spacing w:val="35"/>
        </w:rPr>
        <w:t xml:space="preserve"> </w:t>
      </w:r>
      <w:r w:rsidRPr="009C61A1">
        <w:rPr>
          <w:rFonts w:eastAsia="Times New Roman" w:cs="Times New Roman"/>
          <w:spacing w:val="-1"/>
        </w:rPr>
        <w:t>investigative</w:t>
      </w:r>
      <w:r w:rsidRPr="009C61A1">
        <w:rPr>
          <w:rFonts w:eastAsia="Times New Roman" w:cs="Times New Roman"/>
          <w:spacing w:val="-2"/>
        </w:rPr>
        <w:t xml:space="preserve"> </w:t>
      </w:r>
      <w:r w:rsidRPr="009C61A1">
        <w:rPr>
          <w:rFonts w:eastAsia="Times New Roman" w:cs="Times New Roman"/>
          <w:spacing w:val="0"/>
        </w:rPr>
        <w:t>form</w:t>
      </w:r>
      <w:r w:rsidRPr="009C61A1">
        <w:rPr>
          <w:rFonts w:eastAsia="Times New Roman" w:cs="Times New Roman"/>
          <w:spacing w:val="-1"/>
        </w:rPr>
        <w:t xml:space="preserve"> at a point after screening, </w:t>
      </w:r>
      <w:r w:rsidRPr="009C61A1">
        <w:rPr>
          <w:rFonts w:eastAsia="Times New Roman" w:cs="Times New Roman"/>
          <w:spacing w:val="0"/>
        </w:rPr>
        <w:t>the</w:t>
      </w:r>
      <w:r w:rsidRPr="009C61A1">
        <w:rPr>
          <w:rFonts w:eastAsia="Times New Roman" w:cs="Times New Roman"/>
          <w:spacing w:val="-2"/>
        </w:rPr>
        <w:t xml:space="preserve"> </w:t>
      </w:r>
      <w:r w:rsidRPr="009C61A1">
        <w:rPr>
          <w:rFonts w:eastAsia="Times New Roman" w:cs="Times New Roman"/>
          <w:spacing w:val="-1"/>
        </w:rPr>
        <w:t>entries</w:t>
      </w:r>
      <w:r w:rsidRPr="009C61A1">
        <w:rPr>
          <w:rFonts w:eastAsia="Times New Roman" w:cs="Times New Roman"/>
          <w:spacing w:val="-2"/>
        </w:rPr>
        <w:t xml:space="preserve"> </w:t>
      </w:r>
      <w:r w:rsidRPr="009C61A1">
        <w:rPr>
          <w:rFonts w:eastAsia="Times New Roman" w:cs="Times New Roman"/>
          <w:spacing w:val="0"/>
        </w:rPr>
        <w:t xml:space="preserve">on </w:t>
      </w:r>
      <w:r w:rsidRPr="009C61A1">
        <w:rPr>
          <w:rFonts w:eastAsia="Times New Roman" w:cs="Times New Roman"/>
          <w:spacing w:val="-1"/>
        </w:rPr>
        <w:t>that form must</w:t>
      </w:r>
      <w:r w:rsidRPr="009C61A1">
        <w:rPr>
          <w:rFonts w:eastAsia="Times New Roman" w:cs="Times New Roman"/>
          <w:spacing w:val="0"/>
        </w:rPr>
        <w:t xml:space="preserve"> be</w:t>
      </w:r>
      <w:r w:rsidRPr="009C61A1">
        <w:rPr>
          <w:rFonts w:eastAsia="Times New Roman" w:cs="Times New Roman"/>
          <w:spacing w:val="33"/>
        </w:rPr>
        <w:t xml:space="preserve"> </w:t>
      </w:r>
      <w:r w:rsidRPr="009C61A1">
        <w:rPr>
          <w:rFonts w:eastAsia="Times New Roman" w:cs="Times New Roman"/>
          <w:spacing w:val="0"/>
        </w:rPr>
        <w:t>compared</w:t>
      </w:r>
      <w:r w:rsidRPr="009C61A1">
        <w:rPr>
          <w:rFonts w:eastAsia="Times New Roman" w:cs="Times New Roman"/>
          <w:spacing w:val="-2"/>
        </w:rPr>
        <w:t xml:space="preserve"> </w:t>
      </w:r>
      <w:r w:rsidRPr="009C61A1">
        <w:rPr>
          <w:rFonts w:eastAsia="Times New Roman" w:cs="Times New Roman"/>
          <w:spacing w:val="0"/>
        </w:rPr>
        <w:t>to</w:t>
      </w:r>
      <w:r w:rsidRPr="009C61A1">
        <w:rPr>
          <w:rFonts w:eastAsia="Times New Roman" w:cs="Times New Roman"/>
          <w:spacing w:val="-2"/>
        </w:rPr>
        <w:t xml:space="preserve"> </w:t>
      </w:r>
      <w:r w:rsidRPr="009C61A1">
        <w:rPr>
          <w:rFonts w:eastAsia="Times New Roman" w:cs="Times New Roman"/>
          <w:spacing w:val="-1"/>
        </w:rPr>
        <w:t>the</w:t>
      </w:r>
      <w:r w:rsidRPr="009C61A1">
        <w:rPr>
          <w:rFonts w:eastAsia="Times New Roman" w:cs="Times New Roman"/>
          <w:spacing w:val="0"/>
        </w:rPr>
        <w:t xml:space="preserve"> OF</w:t>
      </w:r>
      <w:r w:rsidRPr="009C61A1">
        <w:rPr>
          <w:rFonts w:eastAsia="Times New Roman" w:cs="Times New Roman"/>
          <w:spacing w:val="-2"/>
        </w:rPr>
        <w:t xml:space="preserve"> </w:t>
      </w:r>
      <w:r w:rsidRPr="009C61A1">
        <w:rPr>
          <w:rFonts w:eastAsia="Times New Roman" w:cs="Times New Roman"/>
          <w:spacing w:val="-1"/>
        </w:rPr>
        <w:t>306</w:t>
      </w:r>
      <w:r w:rsidRPr="009C61A1">
        <w:rPr>
          <w:rFonts w:eastAsia="Times New Roman" w:cs="Times New Roman"/>
          <w:spacing w:val="-2"/>
        </w:rPr>
        <w:t xml:space="preserve"> </w:t>
      </w:r>
      <w:r w:rsidRPr="009C61A1">
        <w:rPr>
          <w:rFonts w:eastAsia="Times New Roman" w:cs="Times New Roman"/>
          <w:spacing w:val="-1"/>
        </w:rPr>
        <w:t>and</w:t>
      </w:r>
      <w:r w:rsidRPr="009C61A1">
        <w:rPr>
          <w:rFonts w:eastAsia="Times New Roman" w:cs="Times New Roman"/>
          <w:spacing w:val="0"/>
        </w:rPr>
        <w:t xml:space="preserve"> </w:t>
      </w:r>
      <w:r w:rsidRPr="009C61A1">
        <w:rPr>
          <w:rFonts w:eastAsia="Times New Roman" w:cs="Times New Roman"/>
          <w:spacing w:val="-1"/>
        </w:rPr>
        <w:t>other</w:t>
      </w:r>
      <w:r w:rsidRPr="009C61A1">
        <w:rPr>
          <w:rFonts w:eastAsia="Times New Roman" w:cs="Times New Roman"/>
          <w:spacing w:val="28"/>
        </w:rPr>
        <w:t xml:space="preserve"> </w:t>
      </w:r>
      <w:r w:rsidRPr="009C61A1">
        <w:rPr>
          <w:rFonts w:eastAsia="Times New Roman" w:cs="Times New Roman"/>
          <w:spacing w:val="-1"/>
        </w:rPr>
        <w:t>available material</w:t>
      </w:r>
      <w:r w:rsidRPr="009C61A1">
        <w:rPr>
          <w:rFonts w:eastAsia="Times New Roman" w:cs="Times New Roman"/>
          <w:spacing w:val="1"/>
        </w:rPr>
        <w:t xml:space="preserve"> </w:t>
      </w:r>
      <w:r w:rsidRPr="009C61A1">
        <w:rPr>
          <w:rFonts w:eastAsia="Times New Roman" w:cs="Times New Roman"/>
          <w:spacing w:val="0"/>
        </w:rPr>
        <w:t>to</w:t>
      </w:r>
      <w:r w:rsidRPr="009C61A1">
        <w:rPr>
          <w:rFonts w:eastAsia="Times New Roman" w:cs="Times New Roman"/>
          <w:spacing w:val="-2"/>
        </w:rPr>
        <w:t xml:space="preserve"> </w:t>
      </w:r>
      <w:r w:rsidRPr="009C61A1">
        <w:rPr>
          <w:rFonts w:eastAsia="Times New Roman" w:cs="Times New Roman"/>
          <w:spacing w:val="-1"/>
        </w:rPr>
        <w:t>ensure</w:t>
      </w:r>
      <w:r w:rsidRPr="009C61A1">
        <w:rPr>
          <w:rFonts w:eastAsia="Times New Roman" w:cs="Times New Roman"/>
          <w:spacing w:val="-2"/>
        </w:rPr>
        <w:t xml:space="preserve"> </w:t>
      </w:r>
      <w:r w:rsidRPr="009C61A1">
        <w:rPr>
          <w:rFonts w:eastAsia="Times New Roman" w:cs="Times New Roman"/>
          <w:spacing w:val="0"/>
        </w:rPr>
        <w:t xml:space="preserve">the </w:t>
      </w:r>
      <w:r w:rsidRPr="009C61A1">
        <w:rPr>
          <w:rFonts w:eastAsia="Times New Roman" w:cs="Times New Roman"/>
          <w:spacing w:val="-1"/>
        </w:rPr>
        <w:t>answers</w:t>
      </w:r>
      <w:r w:rsidRPr="009C61A1">
        <w:rPr>
          <w:rFonts w:eastAsia="Times New Roman" w:cs="Times New Roman"/>
          <w:spacing w:val="25"/>
        </w:rPr>
        <w:t xml:space="preserve"> </w:t>
      </w:r>
      <w:r w:rsidRPr="009C61A1">
        <w:rPr>
          <w:rFonts w:eastAsia="Times New Roman" w:cs="Times New Roman"/>
          <w:spacing w:val="-1"/>
        </w:rPr>
        <w:t>provided</w:t>
      </w:r>
      <w:r w:rsidRPr="009C61A1">
        <w:rPr>
          <w:rFonts w:eastAsia="Times New Roman" w:cs="Times New Roman"/>
          <w:spacing w:val="0"/>
        </w:rPr>
        <w:t xml:space="preserve"> on </w:t>
      </w:r>
      <w:r w:rsidRPr="009C61A1">
        <w:rPr>
          <w:rFonts w:eastAsia="Times New Roman" w:cs="Times New Roman"/>
          <w:spacing w:val="-1"/>
        </w:rPr>
        <w:t>all</w:t>
      </w:r>
      <w:r w:rsidRPr="009C61A1">
        <w:rPr>
          <w:rFonts w:eastAsia="Times New Roman" w:cs="Times New Roman"/>
          <w:spacing w:val="-3"/>
        </w:rPr>
        <w:t xml:space="preserve"> </w:t>
      </w:r>
      <w:r w:rsidRPr="009C61A1">
        <w:rPr>
          <w:rFonts w:eastAsia="Times New Roman" w:cs="Times New Roman"/>
          <w:spacing w:val="0"/>
        </w:rPr>
        <w:t>forms</w:t>
      </w:r>
      <w:r w:rsidRPr="009C61A1">
        <w:rPr>
          <w:rFonts w:eastAsia="Times New Roman" w:cs="Times New Roman"/>
          <w:spacing w:val="-2"/>
        </w:rPr>
        <w:t xml:space="preserve"> </w:t>
      </w:r>
      <w:r w:rsidRPr="009C61A1">
        <w:rPr>
          <w:rFonts w:eastAsia="Times New Roman" w:cs="Times New Roman"/>
          <w:spacing w:val="0"/>
        </w:rPr>
        <w:t>are</w:t>
      </w:r>
      <w:r w:rsidRPr="009C61A1">
        <w:rPr>
          <w:rFonts w:eastAsia="Times New Roman" w:cs="Times New Roman"/>
          <w:spacing w:val="-2"/>
        </w:rPr>
        <w:t xml:space="preserve"> </w:t>
      </w:r>
      <w:r w:rsidRPr="009C61A1">
        <w:rPr>
          <w:rFonts w:eastAsia="Times New Roman" w:cs="Times New Roman"/>
          <w:spacing w:val="-1"/>
        </w:rPr>
        <w:t>consistent.</w:t>
      </w:r>
      <w:r w:rsidRPr="009C61A1">
        <w:rPr>
          <w:rFonts w:eastAsia="Times New Roman" w:cs="Times New Roman"/>
          <w:spacing w:val="61"/>
        </w:rPr>
        <w:t xml:space="preserve"> </w:t>
      </w:r>
      <w:r w:rsidRPr="009C61A1">
        <w:rPr>
          <w:rFonts w:eastAsia="Times New Roman" w:cs="Times New Roman"/>
          <w:spacing w:val="-1"/>
        </w:rPr>
        <w:t>Any</w:t>
      </w:r>
      <w:r w:rsidRPr="009C61A1">
        <w:rPr>
          <w:rFonts w:eastAsia="Times New Roman" w:cs="Times New Roman"/>
          <w:spacing w:val="21"/>
        </w:rPr>
        <w:t xml:space="preserve"> </w:t>
      </w:r>
      <w:r w:rsidRPr="009C61A1">
        <w:rPr>
          <w:rFonts w:eastAsia="Times New Roman" w:cs="Times New Roman"/>
          <w:spacing w:val="-1"/>
        </w:rPr>
        <w:t>evidence</w:t>
      </w:r>
      <w:r w:rsidRPr="009C61A1">
        <w:rPr>
          <w:rFonts w:eastAsia="Times New Roman" w:cs="Times New Roman"/>
          <w:spacing w:val="0"/>
        </w:rPr>
        <w:t xml:space="preserve"> of a</w:t>
      </w:r>
      <w:r w:rsidRPr="009C61A1">
        <w:rPr>
          <w:rFonts w:eastAsia="Times New Roman" w:cs="Times New Roman"/>
          <w:spacing w:val="1"/>
        </w:rPr>
        <w:t xml:space="preserve"> </w:t>
      </w:r>
      <w:r w:rsidRPr="009C61A1">
        <w:rPr>
          <w:rFonts w:eastAsia="Times New Roman" w:cs="Times New Roman"/>
          <w:spacing w:val="-1"/>
        </w:rPr>
        <w:t>potential material,</w:t>
      </w:r>
      <w:r w:rsidRPr="009C61A1">
        <w:rPr>
          <w:rFonts w:eastAsia="Times New Roman" w:cs="Times New Roman"/>
          <w:spacing w:val="2"/>
        </w:rPr>
        <w:t xml:space="preserve"> </w:t>
      </w:r>
      <w:r w:rsidRPr="009C61A1">
        <w:rPr>
          <w:rFonts w:eastAsia="Times New Roman" w:cs="Times New Roman"/>
          <w:spacing w:val="-1"/>
        </w:rPr>
        <w:t>intentional</w:t>
      </w:r>
      <w:r w:rsidRPr="009C61A1">
        <w:rPr>
          <w:rFonts w:eastAsia="Times New Roman" w:cs="Times New Roman"/>
          <w:spacing w:val="29"/>
        </w:rPr>
        <w:t xml:space="preserve"> </w:t>
      </w:r>
      <w:r w:rsidRPr="009C61A1">
        <w:rPr>
          <w:rFonts w:eastAsia="Times New Roman" w:cs="Times New Roman"/>
          <w:spacing w:val="-1"/>
        </w:rPr>
        <w:t>falsification</w:t>
      </w:r>
      <w:r w:rsidRPr="009C61A1">
        <w:rPr>
          <w:rFonts w:eastAsia="Times New Roman" w:cs="Times New Roman"/>
          <w:spacing w:val="-2"/>
        </w:rPr>
        <w:t xml:space="preserve"> </w:t>
      </w:r>
      <w:r w:rsidRPr="009C61A1">
        <w:rPr>
          <w:rFonts w:eastAsia="Times New Roman" w:cs="Times New Roman"/>
          <w:spacing w:val="0"/>
        </w:rPr>
        <w:t>must</w:t>
      </w:r>
      <w:r w:rsidRPr="009C61A1">
        <w:rPr>
          <w:rFonts w:eastAsia="Times New Roman" w:cs="Times New Roman"/>
          <w:spacing w:val="-1"/>
        </w:rPr>
        <w:t xml:space="preserve"> </w:t>
      </w:r>
      <w:r w:rsidRPr="009C61A1">
        <w:rPr>
          <w:rFonts w:eastAsia="Times New Roman" w:cs="Times New Roman"/>
          <w:spacing w:val="0"/>
        </w:rPr>
        <w:t>be</w:t>
      </w:r>
      <w:r w:rsidRPr="009C61A1">
        <w:rPr>
          <w:rFonts w:eastAsia="Times New Roman" w:cs="Times New Roman"/>
          <w:spacing w:val="-2"/>
        </w:rPr>
        <w:t xml:space="preserve"> </w:t>
      </w:r>
      <w:r w:rsidRPr="009C61A1">
        <w:rPr>
          <w:rFonts w:eastAsia="Times New Roman" w:cs="Times New Roman"/>
          <w:spacing w:val="-1"/>
        </w:rPr>
        <w:t>referred</w:t>
      </w:r>
      <w:r w:rsidRPr="009C61A1">
        <w:rPr>
          <w:rFonts w:eastAsia="Times New Roman" w:cs="Times New Roman"/>
          <w:spacing w:val="-2"/>
        </w:rPr>
        <w:t xml:space="preserve"> </w:t>
      </w:r>
      <w:r w:rsidRPr="009C61A1">
        <w:rPr>
          <w:rFonts w:eastAsia="Times New Roman" w:cs="Times New Roman"/>
          <w:spacing w:val="0"/>
        </w:rPr>
        <w:t>to</w:t>
      </w:r>
      <w:r w:rsidRPr="009C61A1">
        <w:rPr>
          <w:rFonts w:eastAsia="Times New Roman" w:cs="Times New Roman"/>
          <w:spacing w:val="-2"/>
        </w:rPr>
        <w:t xml:space="preserve"> OPM</w:t>
      </w:r>
      <w:r w:rsidR="00874A3F" w:rsidRPr="009C61A1">
        <w:rPr>
          <w:rFonts w:eastAsia="Times New Roman" w:cs="Times New Roman"/>
          <w:spacing w:val="-2"/>
        </w:rPr>
        <w:t xml:space="preserve"> for competitive service or career Senior Executive Service positions</w:t>
      </w:r>
      <w:r w:rsidRPr="009C61A1">
        <w:rPr>
          <w:rFonts w:eastAsia="Times New Roman" w:cs="Times New Roman"/>
          <w:spacing w:val="-2"/>
        </w:rPr>
        <w:t>.</w:t>
      </w:r>
    </w:p>
    <w:p w14:paraId="5E2CEF63" w14:textId="77777777" w:rsidR="00874A3F" w:rsidRDefault="00874A3F" w:rsidP="00960C35">
      <w:pPr>
        <w:spacing w:after="0" w:line="240" w:lineRule="auto"/>
        <w:rPr>
          <w:rFonts w:ascii="CG Times" w:eastAsia="Times New Roman" w:hAnsi="CG Times" w:cs="Times New Roman"/>
          <w:spacing w:val="-1"/>
          <w:sz w:val="23"/>
          <w:szCs w:val="20"/>
        </w:rPr>
      </w:pPr>
    </w:p>
    <w:p w14:paraId="135FE6DF" w14:textId="2052F900" w:rsidR="00FF7248" w:rsidRPr="008D1968" w:rsidRDefault="00FF7248" w:rsidP="008D1968">
      <w:pPr>
        <w:pStyle w:val="Heading3"/>
        <w:rPr>
          <w:rFonts w:ascii="CG Times" w:eastAsia="Times New Roman" w:hAnsi="CG Times" w:cs="Times New Roman"/>
          <w:spacing w:val="0"/>
          <w:sz w:val="23"/>
          <w:szCs w:val="23"/>
        </w:rPr>
      </w:pPr>
      <w:bookmarkStart w:id="127" w:name="_Toc187052986"/>
      <w:bookmarkStart w:id="128" w:name="_Toc187924167"/>
      <w:r w:rsidRPr="548D0660">
        <w:rPr>
          <w:rStyle w:val="normaltextrun"/>
          <w:shd w:val="clear" w:color="auto" w:fill="FFFFFF"/>
        </w:rPr>
        <w:t>4.</w:t>
      </w:r>
      <w:r w:rsidR="00101EFA" w:rsidRPr="548D0660">
        <w:rPr>
          <w:rStyle w:val="normaltextrun"/>
          <w:shd w:val="clear" w:color="auto" w:fill="FFFFFF"/>
        </w:rPr>
        <w:t>6</w:t>
      </w:r>
      <w:r w:rsidRPr="548D0660">
        <w:rPr>
          <w:rStyle w:val="normaltextrun"/>
          <w:shd w:val="clear" w:color="auto" w:fill="FFFFFF"/>
        </w:rPr>
        <w:t>.</w:t>
      </w:r>
      <w:r w:rsidR="002A5117" w:rsidRPr="002A5117">
        <w:rPr>
          <w:rStyle w:val="normaltextrun"/>
          <w:shd w:val="clear" w:color="auto" w:fill="FFFFFF"/>
        </w:rPr>
        <w:t>2</w:t>
      </w:r>
      <w:r w:rsidRPr="548D0660">
        <w:rPr>
          <w:rStyle w:val="normaltextrun"/>
          <w:shd w:val="clear" w:color="auto" w:fill="FFFFFF"/>
        </w:rPr>
        <w:t xml:space="preserve"> – Negative Pre-Employment Suitability or Fitness Determinations</w:t>
      </w:r>
      <w:bookmarkEnd w:id="127"/>
      <w:bookmarkEnd w:id="128"/>
    </w:p>
    <w:p w14:paraId="3A0FC193" w14:textId="07FF5FA8" w:rsidR="00960C35" w:rsidRPr="00F83101" w:rsidRDefault="00EB5654" w:rsidP="00960C35">
      <w:pPr>
        <w:spacing w:after="0" w:line="240" w:lineRule="auto"/>
        <w:rPr>
          <w:rFonts w:eastAsia="Times New Roman" w:cs="Times New Roman"/>
          <w:spacing w:val="-1"/>
        </w:rPr>
      </w:pPr>
      <w:r w:rsidRPr="00F83101">
        <w:rPr>
          <w:rFonts w:eastAsia="Times New Roman" w:cs="Times New Roman"/>
          <w:spacing w:val="-1"/>
        </w:rPr>
        <w:t>OPM does not prescribe a process for agencies to follow when making negative fitness determinations. For competitive service and career Senior Executive Service positions, i</w:t>
      </w:r>
      <w:r w:rsidR="00960C35" w:rsidRPr="00F83101">
        <w:rPr>
          <w:rFonts w:eastAsia="Times New Roman" w:cs="Times New Roman"/>
          <w:spacing w:val="-1"/>
        </w:rPr>
        <w:t>f the issues do not warrant referral to OPM, the agency may elect to initiate its own suitability action</w:t>
      </w:r>
      <w:r w:rsidR="00874A3F" w:rsidRPr="00F83101">
        <w:rPr>
          <w:rFonts w:eastAsia="Times New Roman" w:cs="Times New Roman"/>
          <w:spacing w:val="-1"/>
        </w:rPr>
        <w:t xml:space="preserve"> </w:t>
      </w:r>
      <w:r w:rsidRPr="00F83101">
        <w:rPr>
          <w:rFonts w:eastAsia="Times New Roman" w:cs="Times New Roman"/>
          <w:spacing w:val="-1"/>
        </w:rPr>
        <w:t>or follow another applicable process</w:t>
      </w:r>
      <w:r w:rsidR="00960C35" w:rsidRPr="00F83101">
        <w:rPr>
          <w:rFonts w:eastAsia="Times New Roman" w:cs="Times New Roman"/>
          <w:spacing w:val="-1"/>
        </w:rPr>
        <w:t>.</w:t>
      </w:r>
      <w:r w:rsidRPr="00F83101">
        <w:rPr>
          <w:rFonts w:eastAsia="Times New Roman" w:cs="Times New Roman"/>
          <w:spacing w:val="-1"/>
        </w:rPr>
        <w:t xml:space="preserve"> For example, an agency may decide to withdraw the job offer, which is not a suitability action.</w:t>
      </w:r>
      <w:r w:rsidR="00960C35" w:rsidRPr="00F83101">
        <w:rPr>
          <w:rFonts w:eastAsia="Times New Roman" w:cs="Times New Roman"/>
          <w:spacing w:val="-1"/>
        </w:rPr>
        <w:t xml:space="preserve"> </w:t>
      </w:r>
      <w:r w:rsidRPr="00F83101">
        <w:rPr>
          <w:rFonts w:eastAsia="Times New Roman" w:cs="Times New Roman"/>
          <w:spacing w:val="-1"/>
        </w:rPr>
        <w:t>When taking a suitability action, a</w:t>
      </w:r>
      <w:r w:rsidR="00960C35" w:rsidRPr="00F83101">
        <w:rPr>
          <w:rFonts w:eastAsia="Times New Roman" w:cs="Times New Roman"/>
          <w:spacing w:val="-1"/>
        </w:rPr>
        <w:t>gencies must follow the suitability action procedures outlined in 5 C</w:t>
      </w:r>
      <w:r w:rsidR="008A7703">
        <w:rPr>
          <w:rFonts w:eastAsia="Times New Roman" w:cs="Times New Roman"/>
          <w:spacing w:val="-1"/>
        </w:rPr>
        <w:t>.</w:t>
      </w:r>
      <w:r w:rsidR="00960C35" w:rsidRPr="00F83101">
        <w:rPr>
          <w:rFonts w:eastAsia="Times New Roman" w:cs="Times New Roman"/>
          <w:spacing w:val="-1"/>
        </w:rPr>
        <w:t>F</w:t>
      </w:r>
      <w:r w:rsidR="008A7703">
        <w:rPr>
          <w:rFonts w:eastAsia="Times New Roman" w:cs="Times New Roman"/>
          <w:spacing w:val="-1"/>
        </w:rPr>
        <w:t>.</w:t>
      </w:r>
      <w:r w:rsidR="00960C35" w:rsidRPr="00F83101">
        <w:rPr>
          <w:rFonts w:eastAsia="Times New Roman" w:cs="Times New Roman"/>
          <w:spacing w:val="-1"/>
        </w:rPr>
        <w:t>R</w:t>
      </w:r>
      <w:r w:rsidR="008A7703">
        <w:rPr>
          <w:rFonts w:eastAsia="Times New Roman" w:cs="Times New Roman"/>
          <w:spacing w:val="-1"/>
        </w:rPr>
        <w:t>.</w:t>
      </w:r>
      <w:r w:rsidR="00960C35" w:rsidRPr="00F83101">
        <w:rPr>
          <w:rFonts w:eastAsia="Times New Roman" w:cs="Times New Roman"/>
          <w:spacing w:val="-1"/>
        </w:rPr>
        <w:t xml:space="preserve"> </w:t>
      </w:r>
      <w:r w:rsidR="008A7703">
        <w:rPr>
          <w:rFonts w:eastAsia="Times New Roman" w:cs="Times New Roman"/>
          <w:spacing w:val="-1"/>
        </w:rPr>
        <w:t>part</w:t>
      </w:r>
      <w:r w:rsidR="51D17D6F" w:rsidRPr="548D0660">
        <w:rPr>
          <w:rFonts w:eastAsia="Times New Roman" w:cs="Times New Roman"/>
          <w:color w:val="000000" w:themeColor="text1"/>
        </w:rPr>
        <w:t xml:space="preserve"> </w:t>
      </w:r>
      <w:r w:rsidR="00960C35" w:rsidRPr="00F83101">
        <w:rPr>
          <w:rFonts w:eastAsia="Times New Roman" w:cs="Times New Roman"/>
          <w:spacing w:val="-1"/>
        </w:rPr>
        <w:t xml:space="preserve">731, Subpart D – Agency Suitability Action Procedures </w:t>
      </w:r>
      <w:r w:rsidR="00874A3F" w:rsidRPr="00F83101">
        <w:rPr>
          <w:rFonts w:eastAsia="Times New Roman" w:cs="Times New Roman"/>
          <w:spacing w:val="-1"/>
        </w:rPr>
        <w:t>and Volume 5 of this Manual.</w:t>
      </w:r>
    </w:p>
    <w:p w14:paraId="7D000E45" w14:textId="77777777" w:rsidR="00874A3F" w:rsidRPr="00F83101" w:rsidRDefault="00874A3F" w:rsidP="00960C35">
      <w:pPr>
        <w:spacing w:after="0" w:line="240" w:lineRule="auto"/>
        <w:rPr>
          <w:rFonts w:eastAsia="Times New Roman" w:cs="Times New Roman"/>
          <w:spacing w:val="-1"/>
        </w:rPr>
      </w:pPr>
    </w:p>
    <w:p w14:paraId="0981FD9C" w14:textId="2A2FCBE6" w:rsidR="00960C35" w:rsidRPr="00F83101" w:rsidRDefault="00960C35" w:rsidP="00960C35">
      <w:pPr>
        <w:spacing w:after="0" w:line="240" w:lineRule="auto"/>
        <w:rPr>
          <w:rFonts w:eastAsia="Times New Roman" w:cs="Calibri"/>
          <w:spacing w:val="0"/>
        </w:rPr>
      </w:pPr>
      <w:bookmarkStart w:id="129" w:name="_Hlk76033783"/>
      <w:bookmarkStart w:id="130" w:name="_Hlk76034071"/>
      <w:r w:rsidRPr="00F83101">
        <w:rPr>
          <w:rFonts w:eastAsia="Times New Roman" w:cs="Calibri"/>
          <w:spacing w:val="0"/>
        </w:rPr>
        <w:t>After the suitability action under 5 C</w:t>
      </w:r>
      <w:r w:rsidR="008A779F">
        <w:rPr>
          <w:rFonts w:eastAsia="Times New Roman" w:cs="Calibri"/>
          <w:spacing w:val="0"/>
        </w:rPr>
        <w:t>.</w:t>
      </w:r>
      <w:r w:rsidRPr="00F83101">
        <w:rPr>
          <w:rFonts w:eastAsia="Times New Roman" w:cs="Calibri"/>
          <w:spacing w:val="0"/>
        </w:rPr>
        <w:t>F</w:t>
      </w:r>
      <w:r w:rsidR="008A779F">
        <w:rPr>
          <w:rFonts w:eastAsia="Times New Roman" w:cs="Calibri"/>
          <w:spacing w:val="0"/>
        </w:rPr>
        <w:t>.</w:t>
      </w:r>
      <w:r w:rsidRPr="00F83101">
        <w:rPr>
          <w:rFonts w:eastAsia="Times New Roman" w:cs="Calibri"/>
          <w:spacing w:val="0"/>
        </w:rPr>
        <w:t>R</w:t>
      </w:r>
      <w:r w:rsidR="008A779F">
        <w:rPr>
          <w:rFonts w:eastAsia="Times New Roman" w:cs="Calibri"/>
          <w:spacing w:val="0"/>
        </w:rPr>
        <w:t>. part</w:t>
      </w:r>
      <w:r w:rsidRPr="00F83101">
        <w:rPr>
          <w:rFonts w:eastAsia="Times New Roman" w:cs="Calibri"/>
          <w:spacing w:val="0"/>
        </w:rPr>
        <w:t xml:space="preserve"> 731 has been finished, the agency is required to keep a record of the action and is responsible for enforcing any debarment action within the </w:t>
      </w:r>
      <w:r w:rsidR="00F83101" w:rsidRPr="548D0660">
        <w:rPr>
          <w:rFonts w:eastAsia="Times New Roman" w:cs="Calibri"/>
        </w:rPr>
        <w:t>agency.</w:t>
      </w:r>
      <w:r w:rsidRPr="00F83101">
        <w:rPr>
          <w:rFonts w:eastAsia="Times New Roman" w:cs="Calibri"/>
          <w:spacing w:val="0"/>
        </w:rPr>
        <w:t xml:space="preserve"> </w:t>
      </w:r>
    </w:p>
    <w:bookmarkEnd w:id="129"/>
    <w:bookmarkEnd w:id="130"/>
    <w:p w14:paraId="5AEAF355" w14:textId="77777777" w:rsidR="00960C35" w:rsidRPr="00F83101" w:rsidRDefault="00960C35" w:rsidP="00960C35">
      <w:pPr>
        <w:spacing w:after="0" w:line="240" w:lineRule="auto"/>
        <w:rPr>
          <w:rFonts w:eastAsia="Times New Roman" w:cs="Calibri"/>
          <w:spacing w:val="0"/>
        </w:rPr>
      </w:pPr>
    </w:p>
    <w:p w14:paraId="5E2B02AE" w14:textId="173BA1AC" w:rsidR="00874A3F" w:rsidRPr="00F83101" w:rsidRDefault="00960C35" w:rsidP="00960C35">
      <w:pPr>
        <w:spacing w:after="0" w:line="240" w:lineRule="auto"/>
        <w:rPr>
          <w:rFonts w:eastAsia="Times New Roman" w:cs="Times New Roman"/>
          <w:spacing w:val="-1"/>
        </w:rPr>
      </w:pPr>
      <w:r w:rsidRPr="00F83101">
        <w:rPr>
          <w:rFonts w:eastAsia="Times New Roman" w:cs="Times New Roman"/>
          <w:spacing w:val="-1"/>
        </w:rPr>
        <w:t xml:space="preserve">In situations where the suitability adjudicator finds the individual cannot be found suitable </w:t>
      </w:r>
      <w:r w:rsidR="00874A3F" w:rsidRPr="00F83101">
        <w:rPr>
          <w:rFonts w:eastAsia="Times New Roman" w:cs="Times New Roman"/>
          <w:spacing w:val="-1"/>
        </w:rPr>
        <w:t xml:space="preserve">or fit </w:t>
      </w:r>
      <w:r w:rsidRPr="00F83101">
        <w:rPr>
          <w:rFonts w:eastAsia="Times New Roman" w:cs="Times New Roman"/>
          <w:spacing w:val="-1"/>
        </w:rPr>
        <w:t xml:space="preserve">using the guidance in this Manual, the agency official responsible for filling the job vacancy will be notified. The agency will be responsible for determining if or how the hiring process will resume when this outcome is identified. </w:t>
      </w:r>
    </w:p>
    <w:p w14:paraId="19E6A65A" w14:textId="6EE13DB5" w:rsidR="000B28C2" w:rsidRPr="002D49F9" w:rsidRDefault="00EB5654" w:rsidP="001765A8">
      <w:pPr>
        <w:pStyle w:val="H1"/>
      </w:pPr>
      <w:r>
        <w:rPr>
          <w:rFonts w:ascii="CG Times" w:eastAsia="Times New Roman" w:hAnsi="CG Times" w:cs="Times New Roman"/>
          <w:spacing w:val="-1"/>
          <w:sz w:val="23"/>
          <w:szCs w:val="23"/>
        </w:rPr>
        <w:br w:type="page"/>
      </w:r>
      <w:bookmarkStart w:id="131" w:name="_Toc187052987"/>
      <w:bookmarkStart w:id="132" w:name="_Toc187924168"/>
      <w:r w:rsidR="000B28C2" w:rsidRPr="002D49F9">
        <w:lastRenderedPageBreak/>
        <w:t xml:space="preserve">Volume </w:t>
      </w:r>
      <w:r w:rsidR="002174D2">
        <w:t>5</w:t>
      </w:r>
      <w:r w:rsidR="000B28C2" w:rsidRPr="002D49F9">
        <w:t>:</w:t>
      </w:r>
      <w:r w:rsidR="000B28C2" w:rsidRPr="002D49F9">
        <w:rPr>
          <w:spacing w:val="-15"/>
        </w:rPr>
        <w:t xml:space="preserve"> </w:t>
      </w:r>
      <w:r w:rsidR="000B28C2" w:rsidRPr="002D49F9">
        <w:rPr>
          <w:spacing w:val="-1"/>
        </w:rPr>
        <w:t xml:space="preserve"> </w:t>
      </w:r>
      <w:r w:rsidR="002174D2">
        <w:t>Processing Suitability Actions</w:t>
      </w:r>
      <w:bookmarkEnd w:id="131"/>
      <w:bookmarkEnd w:id="132"/>
      <w:r w:rsidR="000B28C2" w:rsidRPr="002D49F9">
        <w:t xml:space="preserve"> </w:t>
      </w:r>
    </w:p>
    <w:p w14:paraId="530C053D" w14:textId="77777777" w:rsidR="000B28C2" w:rsidRPr="005F1773" w:rsidRDefault="000B28C2" w:rsidP="000B28C2">
      <w:pPr>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Sans Serif Collection"/>
          <w:spacing w:val="0"/>
          <w:sz w:val="30"/>
          <w:szCs w:val="30"/>
        </w:rPr>
      </w:pPr>
    </w:p>
    <w:p w14:paraId="0F31C590" w14:textId="77777777" w:rsidR="000B28C2" w:rsidRPr="00623A85" w:rsidRDefault="000B28C2" w:rsidP="005F1773">
      <w:pPr>
        <w:widowControl w:val="0"/>
        <w:spacing w:after="0" w:line="240" w:lineRule="auto"/>
        <w:rPr>
          <w:rFonts w:ascii="Source Sans Pro" w:eastAsia="Arial Narrow" w:hAnsi="Source Sans Pro" w:cs="Arial Narrow"/>
          <w:b/>
          <w:spacing w:val="0"/>
          <w:sz w:val="30"/>
          <w:szCs w:val="30"/>
        </w:rPr>
      </w:pPr>
      <w:r w:rsidRPr="00623A85">
        <w:rPr>
          <w:rFonts w:ascii="Source Sans Pro" w:eastAsia="Arial Narrow" w:hAnsi="Source Sans Pro" w:cs="Arial Narrow"/>
          <w:b/>
          <w:spacing w:val="0"/>
          <w:sz w:val="30"/>
          <w:szCs w:val="30"/>
        </w:rPr>
        <w:t>Change Record</w:t>
      </w:r>
    </w:p>
    <w:p w14:paraId="0374D4F9" w14:textId="77777777" w:rsidR="000B28C2" w:rsidRPr="005F1773" w:rsidRDefault="000B28C2" w:rsidP="000B28C2">
      <w:pPr>
        <w:widowControl w:val="0"/>
        <w:spacing w:before="5" w:after="0" w:line="240" w:lineRule="auto"/>
        <w:rPr>
          <w:rFonts w:eastAsia="Arial Narrow" w:cs="Arial Narrow"/>
          <w:spacing w:val="0"/>
          <w:sz w:val="30"/>
          <w:szCs w:val="3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1717"/>
        <w:gridCol w:w="6037"/>
      </w:tblGrid>
      <w:tr w:rsidR="000B28C2" w:rsidRPr="00B57F94" w14:paraId="1227A9CC" w14:textId="77777777" w:rsidTr="005F1773">
        <w:tc>
          <w:tcPr>
            <w:tcW w:w="1781" w:type="dxa"/>
            <w:shd w:val="clear" w:color="auto" w:fill="auto"/>
          </w:tcPr>
          <w:p w14:paraId="341AF5A7" w14:textId="77777777" w:rsidR="000B28C2" w:rsidRPr="00623A85" w:rsidRDefault="000B28C2">
            <w:pPr>
              <w:widowControl w:val="0"/>
              <w:spacing w:before="5" w:after="0" w:line="240" w:lineRule="auto"/>
              <w:rPr>
                <w:rFonts w:ascii="Source Sans Pro" w:eastAsia="Arial Narrow" w:hAnsi="Source Sans Pro" w:cs="Arial Narrow"/>
                <w:b/>
                <w:spacing w:val="0"/>
                <w:sz w:val="30"/>
                <w:szCs w:val="30"/>
              </w:rPr>
            </w:pPr>
            <w:r w:rsidRPr="00623A85">
              <w:rPr>
                <w:rFonts w:ascii="Source Sans Pro" w:eastAsia="Arial Narrow" w:hAnsi="Source Sans Pro" w:cs="Arial Narrow"/>
                <w:b/>
                <w:spacing w:val="0"/>
                <w:sz w:val="30"/>
                <w:szCs w:val="30"/>
              </w:rPr>
              <w:t>Date</w:t>
            </w:r>
          </w:p>
        </w:tc>
        <w:tc>
          <w:tcPr>
            <w:tcW w:w="1717" w:type="dxa"/>
            <w:shd w:val="clear" w:color="auto" w:fill="auto"/>
          </w:tcPr>
          <w:p w14:paraId="094ECD0E" w14:textId="531561FA" w:rsidR="000B28C2" w:rsidRPr="00623A85" w:rsidRDefault="000B28C2">
            <w:pPr>
              <w:widowControl w:val="0"/>
              <w:spacing w:before="5" w:after="0" w:line="240" w:lineRule="auto"/>
              <w:rPr>
                <w:rFonts w:ascii="Source Sans Pro" w:eastAsia="Arial Narrow" w:hAnsi="Source Sans Pro" w:cs="Arial Narrow"/>
                <w:b/>
                <w:spacing w:val="0"/>
                <w:sz w:val="30"/>
                <w:szCs w:val="30"/>
              </w:rPr>
            </w:pPr>
            <w:r w:rsidRPr="00623A85">
              <w:rPr>
                <w:rFonts w:ascii="Source Sans Pro" w:eastAsia="Arial Narrow" w:hAnsi="Source Sans Pro" w:cs="Arial Narrow"/>
                <w:b/>
                <w:spacing w:val="0"/>
                <w:sz w:val="30"/>
                <w:szCs w:val="30"/>
              </w:rPr>
              <w:t>Page</w:t>
            </w:r>
            <w:r w:rsidR="006B4879" w:rsidRPr="00623A85">
              <w:rPr>
                <w:rFonts w:ascii="Source Sans Pro" w:eastAsia="Arial Narrow" w:hAnsi="Source Sans Pro" w:cs="Arial Narrow"/>
                <w:b/>
                <w:spacing w:val="0"/>
                <w:sz w:val="30"/>
                <w:szCs w:val="30"/>
              </w:rPr>
              <w:t>(s)</w:t>
            </w:r>
            <w:r w:rsidRPr="00623A85">
              <w:rPr>
                <w:rFonts w:ascii="Source Sans Pro" w:eastAsia="Arial Narrow" w:hAnsi="Source Sans Pro" w:cs="Arial Narrow"/>
                <w:b/>
                <w:spacing w:val="0"/>
                <w:sz w:val="30"/>
                <w:szCs w:val="30"/>
              </w:rPr>
              <w:t xml:space="preserve"> Affected</w:t>
            </w:r>
          </w:p>
        </w:tc>
        <w:tc>
          <w:tcPr>
            <w:tcW w:w="6037" w:type="dxa"/>
            <w:shd w:val="clear" w:color="auto" w:fill="auto"/>
          </w:tcPr>
          <w:p w14:paraId="2F1D4D35" w14:textId="0D2B0118" w:rsidR="000B28C2" w:rsidRPr="00623A85" w:rsidRDefault="000B28C2">
            <w:pPr>
              <w:widowControl w:val="0"/>
              <w:spacing w:before="5" w:after="0" w:line="240" w:lineRule="auto"/>
              <w:rPr>
                <w:rFonts w:ascii="Source Sans Pro" w:eastAsia="Arial Narrow" w:hAnsi="Source Sans Pro" w:cs="Arial Narrow"/>
                <w:b/>
                <w:spacing w:val="0"/>
                <w:sz w:val="30"/>
                <w:szCs w:val="30"/>
              </w:rPr>
            </w:pPr>
            <w:r w:rsidRPr="00623A85">
              <w:rPr>
                <w:rFonts w:ascii="Source Sans Pro" w:eastAsia="Arial Narrow" w:hAnsi="Source Sans Pro" w:cs="Arial Narrow"/>
                <w:b/>
                <w:spacing w:val="0"/>
                <w:sz w:val="30"/>
                <w:szCs w:val="30"/>
              </w:rPr>
              <w:t>Description of Revision</w:t>
            </w:r>
            <w:r w:rsidR="00623A85">
              <w:rPr>
                <w:rFonts w:ascii="Source Sans Pro" w:eastAsia="Arial Narrow" w:hAnsi="Source Sans Pro" w:cs="Arial Narrow"/>
                <w:b/>
                <w:bCs/>
                <w:spacing w:val="0"/>
                <w:sz w:val="30"/>
                <w:szCs w:val="30"/>
              </w:rPr>
              <w:t>(s)</w:t>
            </w:r>
          </w:p>
        </w:tc>
      </w:tr>
      <w:tr w:rsidR="000B28C2" w:rsidRPr="00B57F94" w14:paraId="2B29C3C7" w14:textId="77777777" w:rsidTr="005F1773">
        <w:tc>
          <w:tcPr>
            <w:tcW w:w="1781" w:type="dxa"/>
            <w:shd w:val="clear" w:color="auto" w:fill="auto"/>
          </w:tcPr>
          <w:p w14:paraId="16A9ABC9" w14:textId="77777777" w:rsidR="000B28C2" w:rsidRPr="005B4726" w:rsidRDefault="000B28C2">
            <w:pPr>
              <w:widowControl w:val="0"/>
              <w:spacing w:before="5" w:after="0" w:line="240" w:lineRule="auto"/>
              <w:rPr>
                <w:rFonts w:eastAsia="Arial Narrow" w:cs="Arial Narrow"/>
                <w:b/>
                <w:spacing w:val="0"/>
              </w:rPr>
            </w:pPr>
          </w:p>
        </w:tc>
        <w:tc>
          <w:tcPr>
            <w:tcW w:w="1717" w:type="dxa"/>
            <w:shd w:val="clear" w:color="auto" w:fill="auto"/>
          </w:tcPr>
          <w:p w14:paraId="06300C19" w14:textId="77777777" w:rsidR="000B28C2" w:rsidRPr="005B4726" w:rsidRDefault="000B28C2">
            <w:pPr>
              <w:widowControl w:val="0"/>
              <w:spacing w:before="5" w:after="0" w:line="240" w:lineRule="auto"/>
              <w:rPr>
                <w:rFonts w:eastAsia="Arial Narrow" w:cs="Arial Narrow"/>
                <w:b/>
                <w:spacing w:val="0"/>
              </w:rPr>
            </w:pPr>
          </w:p>
        </w:tc>
        <w:tc>
          <w:tcPr>
            <w:tcW w:w="6037" w:type="dxa"/>
            <w:shd w:val="clear" w:color="auto" w:fill="auto"/>
          </w:tcPr>
          <w:p w14:paraId="7C4CD8E5" w14:textId="77777777" w:rsidR="000B28C2" w:rsidRPr="005B4726" w:rsidRDefault="000B28C2">
            <w:pPr>
              <w:widowControl w:val="0"/>
              <w:spacing w:before="5" w:after="0" w:line="240" w:lineRule="auto"/>
              <w:rPr>
                <w:rFonts w:eastAsia="Arial Narrow" w:cs="Arial Narrow"/>
                <w:b/>
                <w:spacing w:val="0"/>
              </w:rPr>
            </w:pPr>
          </w:p>
        </w:tc>
      </w:tr>
      <w:tr w:rsidR="000B28C2" w:rsidRPr="00B57F94" w14:paraId="1380043A" w14:textId="77777777" w:rsidTr="005F1773">
        <w:tc>
          <w:tcPr>
            <w:tcW w:w="1781" w:type="dxa"/>
            <w:shd w:val="clear" w:color="auto" w:fill="auto"/>
          </w:tcPr>
          <w:p w14:paraId="7C48630F" w14:textId="77777777" w:rsidR="000B28C2" w:rsidRPr="005B4726" w:rsidRDefault="000B28C2">
            <w:pPr>
              <w:widowControl w:val="0"/>
              <w:spacing w:before="5" w:after="0" w:line="240" w:lineRule="auto"/>
              <w:rPr>
                <w:rFonts w:eastAsia="Arial Narrow" w:cs="Arial Narrow"/>
                <w:b/>
                <w:spacing w:val="0"/>
              </w:rPr>
            </w:pPr>
          </w:p>
        </w:tc>
        <w:tc>
          <w:tcPr>
            <w:tcW w:w="1717" w:type="dxa"/>
            <w:shd w:val="clear" w:color="auto" w:fill="auto"/>
          </w:tcPr>
          <w:p w14:paraId="000D3861" w14:textId="77777777" w:rsidR="000B28C2" w:rsidRPr="005B4726" w:rsidRDefault="000B28C2">
            <w:pPr>
              <w:widowControl w:val="0"/>
              <w:spacing w:before="5" w:after="0" w:line="240" w:lineRule="auto"/>
              <w:rPr>
                <w:rFonts w:eastAsia="Arial Narrow" w:cs="Arial Narrow"/>
                <w:b/>
                <w:spacing w:val="0"/>
              </w:rPr>
            </w:pPr>
          </w:p>
        </w:tc>
        <w:tc>
          <w:tcPr>
            <w:tcW w:w="6037" w:type="dxa"/>
            <w:shd w:val="clear" w:color="auto" w:fill="auto"/>
          </w:tcPr>
          <w:p w14:paraId="16389385" w14:textId="77777777" w:rsidR="000B28C2" w:rsidRPr="005B4726" w:rsidRDefault="000B28C2">
            <w:pPr>
              <w:widowControl w:val="0"/>
              <w:spacing w:before="5" w:after="0" w:line="240" w:lineRule="auto"/>
              <w:rPr>
                <w:rFonts w:eastAsia="Arial Narrow" w:cs="Arial Narrow"/>
                <w:b/>
                <w:spacing w:val="0"/>
              </w:rPr>
            </w:pPr>
          </w:p>
        </w:tc>
      </w:tr>
      <w:tr w:rsidR="005B4726" w:rsidRPr="00B57F94" w14:paraId="62C38443" w14:textId="77777777" w:rsidTr="005F1773">
        <w:tc>
          <w:tcPr>
            <w:tcW w:w="1781" w:type="dxa"/>
            <w:shd w:val="clear" w:color="auto" w:fill="auto"/>
          </w:tcPr>
          <w:p w14:paraId="5AEFAEBA" w14:textId="77777777" w:rsidR="005B4726" w:rsidRPr="005B4726" w:rsidRDefault="005B4726">
            <w:pPr>
              <w:widowControl w:val="0"/>
              <w:spacing w:before="5" w:after="0" w:line="240" w:lineRule="auto"/>
              <w:rPr>
                <w:rFonts w:eastAsia="Arial Narrow" w:cs="Arial Narrow"/>
                <w:b/>
                <w:bCs/>
                <w:spacing w:val="0"/>
              </w:rPr>
            </w:pPr>
          </w:p>
        </w:tc>
        <w:tc>
          <w:tcPr>
            <w:tcW w:w="1717" w:type="dxa"/>
            <w:shd w:val="clear" w:color="auto" w:fill="auto"/>
          </w:tcPr>
          <w:p w14:paraId="380F04B1" w14:textId="77777777" w:rsidR="005B4726" w:rsidRPr="005B4726" w:rsidRDefault="005B4726">
            <w:pPr>
              <w:widowControl w:val="0"/>
              <w:spacing w:before="5" w:after="0" w:line="240" w:lineRule="auto"/>
              <w:rPr>
                <w:rFonts w:eastAsia="Arial Narrow" w:cs="Arial Narrow"/>
                <w:b/>
                <w:bCs/>
                <w:spacing w:val="0"/>
              </w:rPr>
            </w:pPr>
          </w:p>
        </w:tc>
        <w:tc>
          <w:tcPr>
            <w:tcW w:w="6037" w:type="dxa"/>
            <w:shd w:val="clear" w:color="auto" w:fill="auto"/>
          </w:tcPr>
          <w:p w14:paraId="3333BC17" w14:textId="77777777" w:rsidR="005B4726" w:rsidRPr="005B4726" w:rsidRDefault="005B4726">
            <w:pPr>
              <w:widowControl w:val="0"/>
              <w:spacing w:before="5" w:after="0" w:line="240" w:lineRule="auto"/>
              <w:rPr>
                <w:rFonts w:eastAsia="Arial Narrow" w:cs="Arial Narrow"/>
                <w:b/>
                <w:bCs/>
                <w:spacing w:val="0"/>
              </w:rPr>
            </w:pPr>
          </w:p>
        </w:tc>
      </w:tr>
      <w:tr w:rsidR="005B4726" w:rsidRPr="00B57F94" w14:paraId="605FFC5E" w14:textId="77777777" w:rsidTr="005F1773">
        <w:tc>
          <w:tcPr>
            <w:tcW w:w="1781" w:type="dxa"/>
            <w:shd w:val="clear" w:color="auto" w:fill="auto"/>
          </w:tcPr>
          <w:p w14:paraId="01B5EA3E" w14:textId="77777777" w:rsidR="005B4726" w:rsidRPr="005B4726" w:rsidRDefault="005B4726">
            <w:pPr>
              <w:widowControl w:val="0"/>
              <w:spacing w:before="5" w:after="0" w:line="240" w:lineRule="auto"/>
              <w:rPr>
                <w:rFonts w:eastAsia="Arial Narrow" w:cs="Arial Narrow"/>
                <w:b/>
                <w:bCs/>
                <w:spacing w:val="0"/>
              </w:rPr>
            </w:pPr>
          </w:p>
        </w:tc>
        <w:tc>
          <w:tcPr>
            <w:tcW w:w="1717" w:type="dxa"/>
            <w:shd w:val="clear" w:color="auto" w:fill="auto"/>
          </w:tcPr>
          <w:p w14:paraId="3AE7EF37" w14:textId="77777777" w:rsidR="005B4726" w:rsidRPr="005B4726" w:rsidRDefault="005B4726">
            <w:pPr>
              <w:widowControl w:val="0"/>
              <w:spacing w:before="5" w:after="0" w:line="240" w:lineRule="auto"/>
              <w:rPr>
                <w:rFonts w:eastAsia="Arial Narrow" w:cs="Arial Narrow"/>
                <w:b/>
                <w:bCs/>
                <w:spacing w:val="0"/>
              </w:rPr>
            </w:pPr>
          </w:p>
        </w:tc>
        <w:tc>
          <w:tcPr>
            <w:tcW w:w="6037" w:type="dxa"/>
            <w:shd w:val="clear" w:color="auto" w:fill="auto"/>
          </w:tcPr>
          <w:p w14:paraId="6ED0EEA4" w14:textId="77777777" w:rsidR="005B4726" w:rsidRPr="005B4726" w:rsidRDefault="005B4726">
            <w:pPr>
              <w:widowControl w:val="0"/>
              <w:spacing w:before="5" w:after="0" w:line="240" w:lineRule="auto"/>
              <w:rPr>
                <w:rFonts w:eastAsia="Arial Narrow" w:cs="Arial Narrow"/>
                <w:b/>
                <w:bCs/>
                <w:spacing w:val="0"/>
              </w:rPr>
            </w:pPr>
          </w:p>
        </w:tc>
      </w:tr>
      <w:tr w:rsidR="005B4726" w:rsidRPr="00B57F94" w14:paraId="2D352BEE" w14:textId="77777777" w:rsidTr="005F1773">
        <w:tc>
          <w:tcPr>
            <w:tcW w:w="1781" w:type="dxa"/>
            <w:shd w:val="clear" w:color="auto" w:fill="auto"/>
          </w:tcPr>
          <w:p w14:paraId="5D61867A" w14:textId="77777777" w:rsidR="005B4726" w:rsidRPr="005B4726" w:rsidRDefault="005B4726">
            <w:pPr>
              <w:widowControl w:val="0"/>
              <w:spacing w:before="5" w:after="0" w:line="240" w:lineRule="auto"/>
              <w:rPr>
                <w:rFonts w:eastAsia="Arial Narrow" w:cs="Arial Narrow"/>
                <w:b/>
                <w:bCs/>
                <w:spacing w:val="0"/>
              </w:rPr>
            </w:pPr>
          </w:p>
        </w:tc>
        <w:tc>
          <w:tcPr>
            <w:tcW w:w="1717" w:type="dxa"/>
            <w:shd w:val="clear" w:color="auto" w:fill="auto"/>
          </w:tcPr>
          <w:p w14:paraId="0170D87B" w14:textId="77777777" w:rsidR="005B4726" w:rsidRPr="005B4726" w:rsidRDefault="005B4726">
            <w:pPr>
              <w:widowControl w:val="0"/>
              <w:spacing w:before="5" w:after="0" w:line="240" w:lineRule="auto"/>
              <w:rPr>
                <w:rFonts w:eastAsia="Arial Narrow" w:cs="Arial Narrow"/>
                <w:b/>
                <w:bCs/>
                <w:spacing w:val="0"/>
              </w:rPr>
            </w:pPr>
          </w:p>
        </w:tc>
        <w:tc>
          <w:tcPr>
            <w:tcW w:w="6037" w:type="dxa"/>
            <w:shd w:val="clear" w:color="auto" w:fill="auto"/>
          </w:tcPr>
          <w:p w14:paraId="612D9836" w14:textId="77777777" w:rsidR="005B4726" w:rsidRPr="005B4726" w:rsidRDefault="005B4726">
            <w:pPr>
              <w:widowControl w:val="0"/>
              <w:spacing w:before="5" w:after="0" w:line="240" w:lineRule="auto"/>
              <w:rPr>
                <w:rFonts w:eastAsia="Arial Narrow" w:cs="Arial Narrow"/>
                <w:b/>
                <w:bCs/>
                <w:spacing w:val="0"/>
              </w:rPr>
            </w:pPr>
          </w:p>
        </w:tc>
      </w:tr>
      <w:tr w:rsidR="005B4726" w:rsidRPr="00B57F94" w14:paraId="20E3CC4A" w14:textId="77777777" w:rsidTr="005F1773">
        <w:tc>
          <w:tcPr>
            <w:tcW w:w="1781" w:type="dxa"/>
            <w:shd w:val="clear" w:color="auto" w:fill="auto"/>
          </w:tcPr>
          <w:p w14:paraId="6BE3265F" w14:textId="77777777" w:rsidR="005B4726" w:rsidRPr="005B4726" w:rsidRDefault="005B4726">
            <w:pPr>
              <w:widowControl w:val="0"/>
              <w:spacing w:before="5" w:after="0" w:line="240" w:lineRule="auto"/>
              <w:rPr>
                <w:rFonts w:eastAsia="Arial Narrow" w:cs="Arial Narrow"/>
                <w:b/>
                <w:bCs/>
                <w:spacing w:val="0"/>
              </w:rPr>
            </w:pPr>
          </w:p>
        </w:tc>
        <w:tc>
          <w:tcPr>
            <w:tcW w:w="1717" w:type="dxa"/>
            <w:shd w:val="clear" w:color="auto" w:fill="auto"/>
          </w:tcPr>
          <w:p w14:paraId="0443ED59" w14:textId="77777777" w:rsidR="005B4726" w:rsidRPr="005B4726" w:rsidRDefault="005B4726">
            <w:pPr>
              <w:widowControl w:val="0"/>
              <w:spacing w:before="5" w:after="0" w:line="240" w:lineRule="auto"/>
              <w:rPr>
                <w:rFonts w:eastAsia="Arial Narrow" w:cs="Arial Narrow"/>
                <w:b/>
                <w:bCs/>
                <w:spacing w:val="0"/>
              </w:rPr>
            </w:pPr>
          </w:p>
        </w:tc>
        <w:tc>
          <w:tcPr>
            <w:tcW w:w="6037" w:type="dxa"/>
            <w:shd w:val="clear" w:color="auto" w:fill="auto"/>
          </w:tcPr>
          <w:p w14:paraId="3CF512EC" w14:textId="77777777" w:rsidR="005B4726" w:rsidRPr="005B4726" w:rsidRDefault="005B4726">
            <w:pPr>
              <w:widowControl w:val="0"/>
              <w:spacing w:before="5" w:after="0" w:line="240" w:lineRule="auto"/>
              <w:rPr>
                <w:rFonts w:eastAsia="Arial Narrow" w:cs="Arial Narrow"/>
                <w:b/>
                <w:bCs/>
                <w:spacing w:val="0"/>
              </w:rPr>
            </w:pPr>
          </w:p>
        </w:tc>
      </w:tr>
      <w:tr w:rsidR="005B4726" w:rsidRPr="00B57F94" w14:paraId="14DFCA7B" w14:textId="77777777" w:rsidTr="005F1773">
        <w:tc>
          <w:tcPr>
            <w:tcW w:w="1781" w:type="dxa"/>
            <w:shd w:val="clear" w:color="auto" w:fill="auto"/>
          </w:tcPr>
          <w:p w14:paraId="5E210394" w14:textId="77777777" w:rsidR="005B4726" w:rsidRPr="005B4726" w:rsidRDefault="005B4726">
            <w:pPr>
              <w:widowControl w:val="0"/>
              <w:spacing w:before="5" w:after="0" w:line="240" w:lineRule="auto"/>
              <w:rPr>
                <w:rFonts w:eastAsia="Arial Narrow" w:cs="Arial Narrow"/>
                <w:b/>
                <w:bCs/>
                <w:spacing w:val="0"/>
              </w:rPr>
            </w:pPr>
          </w:p>
        </w:tc>
        <w:tc>
          <w:tcPr>
            <w:tcW w:w="1717" w:type="dxa"/>
            <w:shd w:val="clear" w:color="auto" w:fill="auto"/>
          </w:tcPr>
          <w:p w14:paraId="339336A8" w14:textId="77777777" w:rsidR="005B4726" w:rsidRPr="005B4726" w:rsidRDefault="005B4726">
            <w:pPr>
              <w:widowControl w:val="0"/>
              <w:spacing w:before="5" w:after="0" w:line="240" w:lineRule="auto"/>
              <w:rPr>
                <w:rFonts w:eastAsia="Arial Narrow" w:cs="Arial Narrow"/>
                <w:b/>
                <w:bCs/>
                <w:spacing w:val="0"/>
              </w:rPr>
            </w:pPr>
          </w:p>
        </w:tc>
        <w:tc>
          <w:tcPr>
            <w:tcW w:w="6037" w:type="dxa"/>
            <w:shd w:val="clear" w:color="auto" w:fill="auto"/>
          </w:tcPr>
          <w:p w14:paraId="31A4A878" w14:textId="77777777" w:rsidR="005B4726" w:rsidRPr="005B4726" w:rsidRDefault="005B4726">
            <w:pPr>
              <w:widowControl w:val="0"/>
              <w:spacing w:before="5" w:after="0" w:line="240" w:lineRule="auto"/>
              <w:rPr>
                <w:rFonts w:eastAsia="Arial Narrow" w:cs="Arial Narrow"/>
                <w:b/>
                <w:bCs/>
                <w:spacing w:val="0"/>
              </w:rPr>
            </w:pPr>
          </w:p>
        </w:tc>
      </w:tr>
      <w:tr w:rsidR="005B4726" w:rsidRPr="00B57F94" w14:paraId="7D9AE6F6" w14:textId="77777777" w:rsidTr="005F1773">
        <w:tc>
          <w:tcPr>
            <w:tcW w:w="1781" w:type="dxa"/>
            <w:shd w:val="clear" w:color="auto" w:fill="auto"/>
          </w:tcPr>
          <w:p w14:paraId="68677DB7" w14:textId="77777777" w:rsidR="005B4726" w:rsidRPr="005B4726" w:rsidRDefault="005B4726">
            <w:pPr>
              <w:widowControl w:val="0"/>
              <w:spacing w:before="5" w:after="0" w:line="240" w:lineRule="auto"/>
              <w:rPr>
                <w:rFonts w:eastAsia="Arial Narrow" w:cs="Arial Narrow"/>
                <w:b/>
                <w:bCs/>
                <w:spacing w:val="0"/>
              </w:rPr>
            </w:pPr>
          </w:p>
        </w:tc>
        <w:tc>
          <w:tcPr>
            <w:tcW w:w="1717" w:type="dxa"/>
            <w:shd w:val="clear" w:color="auto" w:fill="auto"/>
          </w:tcPr>
          <w:p w14:paraId="654EB5B0" w14:textId="77777777" w:rsidR="005B4726" w:rsidRPr="005B4726" w:rsidRDefault="005B4726">
            <w:pPr>
              <w:widowControl w:val="0"/>
              <w:spacing w:before="5" w:after="0" w:line="240" w:lineRule="auto"/>
              <w:rPr>
                <w:rFonts w:eastAsia="Arial Narrow" w:cs="Arial Narrow"/>
                <w:b/>
                <w:bCs/>
                <w:spacing w:val="0"/>
              </w:rPr>
            </w:pPr>
          </w:p>
        </w:tc>
        <w:tc>
          <w:tcPr>
            <w:tcW w:w="6037" w:type="dxa"/>
            <w:shd w:val="clear" w:color="auto" w:fill="auto"/>
          </w:tcPr>
          <w:p w14:paraId="179D0379" w14:textId="77777777" w:rsidR="005B4726" w:rsidRPr="005B4726" w:rsidRDefault="005B4726">
            <w:pPr>
              <w:widowControl w:val="0"/>
              <w:spacing w:before="5" w:after="0" w:line="240" w:lineRule="auto"/>
              <w:rPr>
                <w:rFonts w:eastAsia="Arial Narrow" w:cs="Arial Narrow"/>
                <w:b/>
                <w:bCs/>
                <w:spacing w:val="0"/>
              </w:rPr>
            </w:pPr>
          </w:p>
        </w:tc>
      </w:tr>
      <w:tr w:rsidR="000B28C2" w:rsidRPr="00B57F94" w14:paraId="7B0538FA" w14:textId="77777777" w:rsidTr="005F1773">
        <w:tc>
          <w:tcPr>
            <w:tcW w:w="1781" w:type="dxa"/>
            <w:shd w:val="clear" w:color="auto" w:fill="auto"/>
          </w:tcPr>
          <w:p w14:paraId="312EDAF7" w14:textId="77777777" w:rsidR="000B28C2" w:rsidRPr="005B4726" w:rsidRDefault="000B28C2">
            <w:pPr>
              <w:widowControl w:val="0"/>
              <w:spacing w:before="5" w:after="0" w:line="240" w:lineRule="auto"/>
              <w:rPr>
                <w:rFonts w:eastAsia="Arial Narrow" w:cs="Arial Narrow"/>
                <w:b/>
                <w:spacing w:val="0"/>
              </w:rPr>
            </w:pPr>
          </w:p>
        </w:tc>
        <w:tc>
          <w:tcPr>
            <w:tcW w:w="1717" w:type="dxa"/>
            <w:shd w:val="clear" w:color="auto" w:fill="auto"/>
          </w:tcPr>
          <w:p w14:paraId="6D92F85C" w14:textId="77777777" w:rsidR="000B28C2" w:rsidRPr="005B4726" w:rsidRDefault="000B28C2">
            <w:pPr>
              <w:widowControl w:val="0"/>
              <w:spacing w:before="5" w:after="0" w:line="240" w:lineRule="auto"/>
              <w:rPr>
                <w:rFonts w:eastAsia="Arial Narrow" w:cs="Arial Narrow"/>
                <w:b/>
                <w:spacing w:val="0"/>
              </w:rPr>
            </w:pPr>
          </w:p>
        </w:tc>
        <w:tc>
          <w:tcPr>
            <w:tcW w:w="6037" w:type="dxa"/>
            <w:shd w:val="clear" w:color="auto" w:fill="auto"/>
          </w:tcPr>
          <w:p w14:paraId="3A4EC5C0" w14:textId="77777777" w:rsidR="000B28C2" w:rsidRPr="005B4726" w:rsidRDefault="000B28C2">
            <w:pPr>
              <w:widowControl w:val="0"/>
              <w:spacing w:before="5" w:after="0" w:line="240" w:lineRule="auto"/>
              <w:rPr>
                <w:rFonts w:eastAsia="Arial Narrow" w:cs="Arial Narrow"/>
                <w:b/>
                <w:spacing w:val="0"/>
              </w:rPr>
            </w:pPr>
          </w:p>
        </w:tc>
      </w:tr>
      <w:tr w:rsidR="000B28C2" w:rsidRPr="00B57F94" w14:paraId="6F68C815" w14:textId="77777777" w:rsidTr="005F1773">
        <w:tc>
          <w:tcPr>
            <w:tcW w:w="1781" w:type="dxa"/>
            <w:shd w:val="clear" w:color="auto" w:fill="auto"/>
          </w:tcPr>
          <w:p w14:paraId="1267D40C" w14:textId="77777777" w:rsidR="000B28C2" w:rsidRPr="005B4726" w:rsidRDefault="000B28C2">
            <w:pPr>
              <w:widowControl w:val="0"/>
              <w:spacing w:before="5" w:after="0" w:line="240" w:lineRule="auto"/>
              <w:rPr>
                <w:rFonts w:eastAsia="Arial Narrow" w:cs="Arial Narrow"/>
                <w:b/>
                <w:spacing w:val="0"/>
              </w:rPr>
            </w:pPr>
          </w:p>
        </w:tc>
        <w:tc>
          <w:tcPr>
            <w:tcW w:w="1717" w:type="dxa"/>
            <w:shd w:val="clear" w:color="auto" w:fill="auto"/>
          </w:tcPr>
          <w:p w14:paraId="343E8256" w14:textId="77777777" w:rsidR="000B28C2" w:rsidRPr="005B4726" w:rsidRDefault="000B28C2">
            <w:pPr>
              <w:widowControl w:val="0"/>
              <w:spacing w:before="5" w:after="0" w:line="240" w:lineRule="auto"/>
              <w:rPr>
                <w:rFonts w:eastAsia="Arial Narrow" w:cs="Arial Narrow"/>
                <w:b/>
                <w:spacing w:val="0"/>
              </w:rPr>
            </w:pPr>
          </w:p>
        </w:tc>
        <w:tc>
          <w:tcPr>
            <w:tcW w:w="6037" w:type="dxa"/>
            <w:shd w:val="clear" w:color="auto" w:fill="auto"/>
          </w:tcPr>
          <w:p w14:paraId="5D1AFD00" w14:textId="77777777" w:rsidR="000B28C2" w:rsidRPr="005B4726" w:rsidRDefault="000B28C2">
            <w:pPr>
              <w:widowControl w:val="0"/>
              <w:spacing w:before="5" w:after="0" w:line="240" w:lineRule="auto"/>
              <w:rPr>
                <w:rFonts w:eastAsia="Arial Narrow" w:cs="Arial Narrow"/>
                <w:b/>
                <w:spacing w:val="0"/>
              </w:rPr>
            </w:pPr>
          </w:p>
        </w:tc>
      </w:tr>
      <w:tr w:rsidR="000B28C2" w:rsidRPr="00B57F94" w14:paraId="799AC50D" w14:textId="77777777" w:rsidTr="005F1773">
        <w:tc>
          <w:tcPr>
            <w:tcW w:w="1781" w:type="dxa"/>
            <w:shd w:val="clear" w:color="auto" w:fill="auto"/>
          </w:tcPr>
          <w:p w14:paraId="21D0BABA" w14:textId="77777777" w:rsidR="000B28C2" w:rsidRPr="005B4726" w:rsidRDefault="000B28C2">
            <w:pPr>
              <w:widowControl w:val="0"/>
              <w:spacing w:before="5" w:after="0" w:line="240" w:lineRule="auto"/>
              <w:rPr>
                <w:rFonts w:eastAsia="Arial Narrow" w:cs="Arial Narrow"/>
                <w:b/>
                <w:spacing w:val="0"/>
              </w:rPr>
            </w:pPr>
          </w:p>
        </w:tc>
        <w:tc>
          <w:tcPr>
            <w:tcW w:w="1717" w:type="dxa"/>
            <w:shd w:val="clear" w:color="auto" w:fill="auto"/>
          </w:tcPr>
          <w:p w14:paraId="5F983707" w14:textId="77777777" w:rsidR="000B28C2" w:rsidRPr="005B4726" w:rsidRDefault="000B28C2">
            <w:pPr>
              <w:widowControl w:val="0"/>
              <w:spacing w:before="5" w:after="0" w:line="240" w:lineRule="auto"/>
              <w:rPr>
                <w:rFonts w:eastAsia="Arial Narrow" w:cs="Arial Narrow"/>
                <w:b/>
                <w:spacing w:val="0"/>
              </w:rPr>
            </w:pPr>
          </w:p>
        </w:tc>
        <w:tc>
          <w:tcPr>
            <w:tcW w:w="6037" w:type="dxa"/>
            <w:shd w:val="clear" w:color="auto" w:fill="auto"/>
          </w:tcPr>
          <w:p w14:paraId="6D83EFFE" w14:textId="77777777" w:rsidR="000B28C2" w:rsidRPr="005B4726" w:rsidRDefault="000B28C2">
            <w:pPr>
              <w:widowControl w:val="0"/>
              <w:spacing w:before="5" w:after="0" w:line="240" w:lineRule="auto"/>
              <w:rPr>
                <w:rFonts w:eastAsia="Arial Narrow" w:cs="Arial Narrow"/>
                <w:b/>
                <w:spacing w:val="0"/>
              </w:rPr>
            </w:pPr>
          </w:p>
        </w:tc>
      </w:tr>
      <w:tr w:rsidR="000B28C2" w:rsidRPr="00B57F94" w14:paraId="440B4595" w14:textId="77777777" w:rsidTr="005F1773">
        <w:tc>
          <w:tcPr>
            <w:tcW w:w="1781" w:type="dxa"/>
            <w:shd w:val="clear" w:color="auto" w:fill="auto"/>
          </w:tcPr>
          <w:p w14:paraId="41868593" w14:textId="77777777" w:rsidR="000B28C2" w:rsidRPr="005B4726" w:rsidRDefault="000B28C2">
            <w:pPr>
              <w:widowControl w:val="0"/>
              <w:spacing w:before="5" w:after="0" w:line="240" w:lineRule="auto"/>
              <w:rPr>
                <w:rFonts w:eastAsia="Arial Narrow" w:cs="Arial Narrow"/>
                <w:b/>
                <w:spacing w:val="0"/>
              </w:rPr>
            </w:pPr>
          </w:p>
        </w:tc>
        <w:tc>
          <w:tcPr>
            <w:tcW w:w="1717" w:type="dxa"/>
            <w:shd w:val="clear" w:color="auto" w:fill="auto"/>
          </w:tcPr>
          <w:p w14:paraId="60BF29FF" w14:textId="77777777" w:rsidR="000B28C2" w:rsidRPr="005B4726" w:rsidRDefault="000B28C2">
            <w:pPr>
              <w:widowControl w:val="0"/>
              <w:spacing w:before="5" w:after="0" w:line="240" w:lineRule="auto"/>
              <w:rPr>
                <w:rFonts w:eastAsia="Arial Narrow" w:cs="Arial Narrow"/>
                <w:b/>
                <w:spacing w:val="0"/>
              </w:rPr>
            </w:pPr>
          </w:p>
        </w:tc>
        <w:tc>
          <w:tcPr>
            <w:tcW w:w="6037" w:type="dxa"/>
            <w:shd w:val="clear" w:color="auto" w:fill="auto"/>
          </w:tcPr>
          <w:p w14:paraId="20BB146C" w14:textId="77777777" w:rsidR="000B28C2" w:rsidRPr="005B4726" w:rsidRDefault="000B28C2">
            <w:pPr>
              <w:widowControl w:val="0"/>
              <w:spacing w:before="5" w:after="0" w:line="240" w:lineRule="auto"/>
              <w:rPr>
                <w:rFonts w:eastAsia="Arial Narrow" w:cs="Arial Narrow"/>
                <w:b/>
                <w:spacing w:val="0"/>
              </w:rPr>
            </w:pPr>
          </w:p>
        </w:tc>
      </w:tr>
      <w:tr w:rsidR="000B28C2" w:rsidRPr="00B57F94" w14:paraId="169F9F2F" w14:textId="77777777" w:rsidTr="005F1773">
        <w:tc>
          <w:tcPr>
            <w:tcW w:w="1781" w:type="dxa"/>
            <w:shd w:val="clear" w:color="auto" w:fill="auto"/>
          </w:tcPr>
          <w:p w14:paraId="7F793081" w14:textId="77777777" w:rsidR="000B28C2" w:rsidRPr="005B4726" w:rsidRDefault="000B28C2">
            <w:pPr>
              <w:widowControl w:val="0"/>
              <w:spacing w:before="5" w:after="0" w:line="240" w:lineRule="auto"/>
              <w:rPr>
                <w:rFonts w:eastAsia="Arial Narrow" w:cs="Arial Narrow"/>
                <w:b/>
                <w:spacing w:val="0"/>
              </w:rPr>
            </w:pPr>
          </w:p>
        </w:tc>
        <w:tc>
          <w:tcPr>
            <w:tcW w:w="1717" w:type="dxa"/>
            <w:shd w:val="clear" w:color="auto" w:fill="auto"/>
          </w:tcPr>
          <w:p w14:paraId="6746BAB9" w14:textId="77777777" w:rsidR="000B28C2" w:rsidRPr="005B4726" w:rsidRDefault="000B28C2">
            <w:pPr>
              <w:widowControl w:val="0"/>
              <w:spacing w:before="5" w:after="0" w:line="240" w:lineRule="auto"/>
              <w:rPr>
                <w:rFonts w:eastAsia="Arial Narrow" w:cs="Arial Narrow"/>
                <w:b/>
                <w:spacing w:val="0"/>
              </w:rPr>
            </w:pPr>
          </w:p>
        </w:tc>
        <w:tc>
          <w:tcPr>
            <w:tcW w:w="6037" w:type="dxa"/>
            <w:shd w:val="clear" w:color="auto" w:fill="auto"/>
          </w:tcPr>
          <w:p w14:paraId="1F7640C6" w14:textId="77777777" w:rsidR="000B28C2" w:rsidRPr="005B4726" w:rsidRDefault="000B28C2">
            <w:pPr>
              <w:widowControl w:val="0"/>
              <w:spacing w:before="5" w:after="0" w:line="240" w:lineRule="auto"/>
              <w:rPr>
                <w:rFonts w:eastAsia="Arial Narrow" w:cs="Arial Narrow"/>
                <w:b/>
                <w:spacing w:val="0"/>
              </w:rPr>
            </w:pPr>
          </w:p>
        </w:tc>
      </w:tr>
      <w:tr w:rsidR="000B28C2" w:rsidRPr="00B57F94" w14:paraId="1EE5C480" w14:textId="77777777" w:rsidTr="005F1773">
        <w:tc>
          <w:tcPr>
            <w:tcW w:w="1781" w:type="dxa"/>
            <w:shd w:val="clear" w:color="auto" w:fill="auto"/>
          </w:tcPr>
          <w:p w14:paraId="04AA8AD8" w14:textId="77777777" w:rsidR="000B28C2" w:rsidRPr="005B4726" w:rsidRDefault="000B28C2">
            <w:pPr>
              <w:widowControl w:val="0"/>
              <w:spacing w:before="5" w:after="0" w:line="240" w:lineRule="auto"/>
              <w:rPr>
                <w:rFonts w:eastAsia="Arial Narrow" w:cs="Arial Narrow"/>
                <w:b/>
                <w:spacing w:val="0"/>
              </w:rPr>
            </w:pPr>
          </w:p>
        </w:tc>
        <w:tc>
          <w:tcPr>
            <w:tcW w:w="1717" w:type="dxa"/>
            <w:shd w:val="clear" w:color="auto" w:fill="auto"/>
          </w:tcPr>
          <w:p w14:paraId="1D9D3FDC" w14:textId="77777777" w:rsidR="000B28C2" w:rsidRPr="005B4726" w:rsidRDefault="000B28C2">
            <w:pPr>
              <w:widowControl w:val="0"/>
              <w:spacing w:before="5" w:after="0" w:line="240" w:lineRule="auto"/>
              <w:rPr>
                <w:rFonts w:eastAsia="Arial Narrow" w:cs="Arial Narrow"/>
                <w:b/>
                <w:spacing w:val="0"/>
              </w:rPr>
            </w:pPr>
          </w:p>
        </w:tc>
        <w:tc>
          <w:tcPr>
            <w:tcW w:w="6037" w:type="dxa"/>
            <w:shd w:val="clear" w:color="auto" w:fill="auto"/>
          </w:tcPr>
          <w:p w14:paraId="34A7A806" w14:textId="77777777" w:rsidR="000B28C2" w:rsidRPr="005B4726" w:rsidRDefault="000B28C2">
            <w:pPr>
              <w:widowControl w:val="0"/>
              <w:spacing w:before="5" w:after="0" w:line="240" w:lineRule="auto"/>
              <w:rPr>
                <w:rFonts w:eastAsia="Arial Narrow" w:cs="Arial Narrow"/>
                <w:b/>
                <w:spacing w:val="0"/>
              </w:rPr>
            </w:pPr>
          </w:p>
        </w:tc>
      </w:tr>
      <w:tr w:rsidR="000B28C2" w:rsidRPr="00B57F94" w14:paraId="1104D32E" w14:textId="77777777" w:rsidTr="005F1773">
        <w:tc>
          <w:tcPr>
            <w:tcW w:w="1781" w:type="dxa"/>
            <w:shd w:val="clear" w:color="auto" w:fill="auto"/>
          </w:tcPr>
          <w:p w14:paraId="6FB01F90" w14:textId="77777777" w:rsidR="000B28C2" w:rsidRPr="005B4726" w:rsidRDefault="000B28C2">
            <w:pPr>
              <w:widowControl w:val="0"/>
              <w:spacing w:before="5" w:after="0" w:line="240" w:lineRule="auto"/>
              <w:rPr>
                <w:rFonts w:eastAsia="Arial Narrow" w:cs="Arial Narrow"/>
                <w:b/>
                <w:spacing w:val="0"/>
              </w:rPr>
            </w:pPr>
          </w:p>
        </w:tc>
        <w:tc>
          <w:tcPr>
            <w:tcW w:w="1717" w:type="dxa"/>
            <w:shd w:val="clear" w:color="auto" w:fill="auto"/>
          </w:tcPr>
          <w:p w14:paraId="52B7D8F0" w14:textId="77777777" w:rsidR="000B28C2" w:rsidRPr="005B4726" w:rsidRDefault="000B28C2">
            <w:pPr>
              <w:widowControl w:val="0"/>
              <w:spacing w:before="5" w:after="0" w:line="240" w:lineRule="auto"/>
              <w:rPr>
                <w:rFonts w:eastAsia="Arial Narrow" w:cs="Arial Narrow"/>
                <w:b/>
                <w:spacing w:val="0"/>
              </w:rPr>
            </w:pPr>
          </w:p>
        </w:tc>
        <w:tc>
          <w:tcPr>
            <w:tcW w:w="6037" w:type="dxa"/>
            <w:shd w:val="clear" w:color="auto" w:fill="auto"/>
          </w:tcPr>
          <w:p w14:paraId="720A5251" w14:textId="77777777" w:rsidR="000B28C2" w:rsidRPr="005B4726" w:rsidRDefault="000B28C2">
            <w:pPr>
              <w:widowControl w:val="0"/>
              <w:spacing w:before="5" w:after="0" w:line="240" w:lineRule="auto"/>
              <w:rPr>
                <w:rFonts w:eastAsia="Arial Narrow" w:cs="Arial Narrow"/>
                <w:b/>
                <w:spacing w:val="0"/>
              </w:rPr>
            </w:pPr>
          </w:p>
        </w:tc>
      </w:tr>
    </w:tbl>
    <w:p w14:paraId="012658F7" w14:textId="427C1EDE" w:rsidR="000B28C2" w:rsidRDefault="000B28C2" w:rsidP="00A545D9"/>
    <w:p w14:paraId="2EB9126D" w14:textId="77777777" w:rsidR="00F83101" w:rsidRDefault="00F83101">
      <w:pPr>
        <w:spacing w:after="160" w:line="259" w:lineRule="auto"/>
      </w:pPr>
      <w:r>
        <w:br w:type="page"/>
      </w:r>
    </w:p>
    <w:p w14:paraId="0F6074F0" w14:textId="2549FBD4" w:rsidR="00960C35" w:rsidRPr="00960C35" w:rsidRDefault="00EB5654" w:rsidP="00D66BE6">
      <w:pPr>
        <w:pStyle w:val="Heading2"/>
        <w:rPr>
          <w:rFonts w:ascii="CG Times" w:eastAsia="Times New Roman" w:hAnsi="CG Times" w:cs="Times New Roman"/>
          <w:spacing w:val="0"/>
          <w:sz w:val="23"/>
          <w:szCs w:val="23"/>
        </w:rPr>
      </w:pPr>
      <w:bookmarkStart w:id="133" w:name="_Toc187052988"/>
      <w:bookmarkStart w:id="134" w:name="_Toc187924169"/>
      <w:r w:rsidRPr="548D0660">
        <w:rPr>
          <w:rStyle w:val="normaltextrun"/>
          <w:shd w:val="clear" w:color="auto" w:fill="FFFFFF"/>
        </w:rPr>
        <w:lastRenderedPageBreak/>
        <w:t>5.1 – General Provisions for Processing Suitability Actions</w:t>
      </w:r>
      <w:bookmarkEnd w:id="133"/>
      <w:bookmarkEnd w:id="134"/>
    </w:p>
    <w:p w14:paraId="0272D244" w14:textId="0F0518B1" w:rsidR="00960C35" w:rsidRPr="00F83101" w:rsidRDefault="00960C35" w:rsidP="00E51FC3">
      <w:pPr>
        <w:spacing w:after="0"/>
        <w:rPr>
          <w:rFonts w:eastAsia="Times New Roman" w:cs="Times New Roman"/>
          <w:spacing w:val="0"/>
        </w:rPr>
      </w:pPr>
      <w:r w:rsidRPr="00F83101">
        <w:rPr>
          <w:rFonts w:eastAsia="Times New Roman" w:cs="Times New Roman"/>
          <w:spacing w:val="0"/>
        </w:rPr>
        <w:t>The procedures in this volume apply to OPM and agencies acting under delegated authority and apply only to positions in the competitive service, positions in the excepted service that can noncompetitively convert to the competitive service, and career appointments to the Senior Executive Service</w:t>
      </w:r>
      <w:r w:rsidR="00EB5654" w:rsidRPr="00F83101">
        <w:rPr>
          <w:rFonts w:eastAsia="Times New Roman" w:cs="Times New Roman"/>
          <w:spacing w:val="0"/>
        </w:rPr>
        <w:t xml:space="preserve"> (hereinafter referred to as competitive service and career Senior Executive Service positions</w:t>
      </w:r>
      <w:r w:rsidR="008044D5" w:rsidRPr="00F83101">
        <w:rPr>
          <w:rFonts w:eastAsia="Times New Roman" w:cs="Times New Roman"/>
          <w:spacing w:val="0"/>
        </w:rPr>
        <w:t>)</w:t>
      </w:r>
      <w:r w:rsidRPr="00F83101">
        <w:rPr>
          <w:rFonts w:eastAsia="Times New Roman" w:cs="Times New Roman"/>
          <w:spacing w:val="0"/>
        </w:rPr>
        <w:t>. Under the provisions of 5 C</w:t>
      </w:r>
      <w:r w:rsidR="008A779F">
        <w:rPr>
          <w:rFonts w:eastAsia="Times New Roman" w:cs="Times New Roman"/>
          <w:spacing w:val="0"/>
        </w:rPr>
        <w:t>.</w:t>
      </w:r>
      <w:r w:rsidRPr="00F83101">
        <w:rPr>
          <w:rFonts w:eastAsia="Times New Roman" w:cs="Times New Roman"/>
          <w:spacing w:val="0"/>
        </w:rPr>
        <w:t>F</w:t>
      </w:r>
      <w:r w:rsidR="008A779F">
        <w:rPr>
          <w:rFonts w:eastAsia="Times New Roman" w:cs="Times New Roman"/>
          <w:spacing w:val="0"/>
        </w:rPr>
        <w:t>.</w:t>
      </w:r>
      <w:r w:rsidRPr="00F83101">
        <w:rPr>
          <w:rFonts w:eastAsia="Times New Roman" w:cs="Times New Roman"/>
          <w:spacing w:val="0"/>
        </w:rPr>
        <w:t>R</w:t>
      </w:r>
      <w:r w:rsidR="008A779F">
        <w:rPr>
          <w:rFonts w:eastAsia="Times New Roman" w:cs="Times New Roman"/>
          <w:spacing w:val="0"/>
        </w:rPr>
        <w:t>.</w:t>
      </w:r>
      <w:r w:rsidRPr="00F83101">
        <w:rPr>
          <w:rFonts w:eastAsia="Times New Roman" w:cs="Times New Roman"/>
          <w:spacing w:val="0"/>
        </w:rPr>
        <w:t xml:space="preserve"> </w:t>
      </w:r>
      <w:r w:rsidR="008A779F">
        <w:rPr>
          <w:rFonts w:eastAsia="Times New Roman" w:cs="Times New Roman"/>
          <w:spacing w:val="0"/>
        </w:rPr>
        <w:t>part</w:t>
      </w:r>
      <w:r w:rsidRPr="548D0660">
        <w:rPr>
          <w:rFonts w:eastAsia="Times New Roman" w:cs="Times New Roman"/>
          <w:color w:val="000000" w:themeColor="text1"/>
        </w:rPr>
        <w:t xml:space="preserve"> </w:t>
      </w:r>
      <w:r w:rsidRPr="00F83101">
        <w:rPr>
          <w:rFonts w:eastAsia="Times New Roman" w:cs="Times New Roman"/>
          <w:spacing w:val="0"/>
        </w:rPr>
        <w:t xml:space="preserve">731, if OPM or an agency initiates a suitability action (cancellation of eligibilities; debarment; removal; or cancellation of reinstatement eligibilities) against an individual, the individual has the right to written notice of the reasons for the proposed action, an opportunity to answer and review the materials relied upon in proposing the action, and to appeal the final action to the Merit Systems Protection Board (MSPB). </w:t>
      </w:r>
    </w:p>
    <w:p w14:paraId="09F91B3A" w14:textId="77777777" w:rsidR="00960C35" w:rsidRPr="00F83101" w:rsidRDefault="00960C35" w:rsidP="00E51FC3">
      <w:pPr>
        <w:spacing w:after="0"/>
        <w:ind w:left="180"/>
        <w:rPr>
          <w:rFonts w:eastAsia="Times New Roman" w:cs="Times New Roman"/>
          <w:spacing w:val="0"/>
        </w:rPr>
      </w:pPr>
    </w:p>
    <w:p w14:paraId="34962D1B" w14:textId="65F94F3A" w:rsidR="00960C35" w:rsidRPr="00F83101" w:rsidRDefault="00960C35" w:rsidP="00E51FC3">
      <w:pPr>
        <w:spacing w:after="0"/>
        <w:rPr>
          <w:rFonts w:eastAsia="Times New Roman" w:cs="Times New Roman"/>
          <w:spacing w:val="0"/>
        </w:rPr>
      </w:pPr>
      <w:r w:rsidRPr="00F83101">
        <w:rPr>
          <w:rFonts w:eastAsia="Times New Roman" w:cs="Times New Roman"/>
          <w:spacing w:val="0"/>
        </w:rPr>
        <w:t xml:space="preserve">OPM and other agencies </w:t>
      </w:r>
      <w:r w:rsidR="008044D5" w:rsidRPr="00F83101">
        <w:rPr>
          <w:rFonts w:eastAsia="Times New Roman" w:cs="Times New Roman"/>
          <w:spacing w:val="0"/>
        </w:rPr>
        <w:t>taking</w:t>
      </w:r>
      <w:r w:rsidRPr="00F83101">
        <w:rPr>
          <w:rFonts w:eastAsia="Times New Roman" w:cs="Times New Roman"/>
          <w:spacing w:val="0"/>
        </w:rPr>
        <w:t xml:space="preserve"> suitability action under 5 C</w:t>
      </w:r>
      <w:r w:rsidR="008A779F">
        <w:rPr>
          <w:rFonts w:eastAsia="Times New Roman" w:cs="Times New Roman"/>
          <w:spacing w:val="0"/>
        </w:rPr>
        <w:t>.</w:t>
      </w:r>
      <w:r w:rsidRPr="00F83101">
        <w:rPr>
          <w:rFonts w:eastAsia="Times New Roman" w:cs="Times New Roman"/>
          <w:spacing w:val="0"/>
        </w:rPr>
        <w:t>F</w:t>
      </w:r>
      <w:r w:rsidR="008A779F">
        <w:rPr>
          <w:rFonts w:eastAsia="Times New Roman" w:cs="Times New Roman"/>
          <w:spacing w:val="0"/>
        </w:rPr>
        <w:t>.</w:t>
      </w:r>
      <w:r w:rsidRPr="00F83101">
        <w:rPr>
          <w:rFonts w:eastAsia="Times New Roman" w:cs="Times New Roman"/>
          <w:spacing w:val="0"/>
        </w:rPr>
        <w:t>R</w:t>
      </w:r>
      <w:r w:rsidR="008A779F">
        <w:rPr>
          <w:rFonts w:eastAsia="Times New Roman" w:cs="Times New Roman"/>
          <w:spacing w:val="0"/>
        </w:rPr>
        <w:t>. part</w:t>
      </w:r>
      <w:r w:rsidRPr="00F83101">
        <w:rPr>
          <w:rFonts w:eastAsia="Times New Roman" w:cs="Times New Roman"/>
          <w:spacing w:val="0"/>
        </w:rPr>
        <w:t xml:space="preserve"> </w:t>
      </w:r>
      <w:r w:rsidR="405193FB" w:rsidRPr="548D0660">
        <w:rPr>
          <w:rFonts w:eastAsia="Times New Roman" w:cs="Times New Roman"/>
          <w:color w:val="000000" w:themeColor="text1"/>
        </w:rPr>
        <w:t>§</w:t>
      </w:r>
      <w:r w:rsidRPr="00F83101">
        <w:rPr>
          <w:rFonts w:eastAsia="Times New Roman" w:cs="Times New Roman"/>
          <w:spacing w:val="0"/>
        </w:rPr>
        <w:t xml:space="preserve"> 731, are responsible for ensuring that the records used in making an adjudication decision are accurate, relevant, timely, and complete to the extent reasonably necessary</w:t>
      </w:r>
      <w:r w:rsidRPr="00F83101">
        <w:rPr>
          <w:rFonts w:eastAsia="Times New Roman" w:cs="Times New Roman"/>
          <w:spacing w:val="0"/>
        </w:rPr>
        <w:softHyphen/>
        <w:t xml:space="preserve"> to assure fairness to the individual in any determination. </w:t>
      </w:r>
    </w:p>
    <w:p w14:paraId="004D35A7" w14:textId="77777777" w:rsidR="00960C35" w:rsidRDefault="00960C35" w:rsidP="00E51FC3">
      <w:pPr>
        <w:spacing w:after="0"/>
        <w:ind w:left="180"/>
        <w:rPr>
          <w:rFonts w:ascii="Times New Roman" w:eastAsia="Times New Roman" w:hAnsi="Times New Roman" w:cs="Times New Roman"/>
          <w:iCs/>
          <w:spacing w:val="0"/>
          <w:sz w:val="23"/>
          <w:szCs w:val="20"/>
        </w:rPr>
      </w:pPr>
    </w:p>
    <w:p w14:paraId="621676D7" w14:textId="1B3587A3" w:rsidR="00EB5654" w:rsidRPr="00960C35" w:rsidRDefault="000927F9" w:rsidP="0039216D">
      <w:pPr>
        <w:pStyle w:val="Heading2"/>
        <w:rPr>
          <w:rFonts w:ascii="Times New Roman" w:eastAsia="Times New Roman" w:hAnsi="Times New Roman" w:cs="Times New Roman"/>
          <w:spacing w:val="0"/>
          <w:sz w:val="23"/>
          <w:szCs w:val="23"/>
        </w:rPr>
      </w:pPr>
      <w:bookmarkStart w:id="135" w:name="_Toc187052989"/>
      <w:bookmarkStart w:id="136" w:name="_Toc187924170"/>
      <w:r w:rsidRPr="548D0660">
        <w:rPr>
          <w:rStyle w:val="normaltextrun"/>
          <w:shd w:val="clear" w:color="auto" w:fill="FFFFFF"/>
        </w:rPr>
        <w:t>5.2 – Evaluating Evidence</w:t>
      </w:r>
      <w:bookmarkEnd w:id="135"/>
      <w:bookmarkEnd w:id="136"/>
      <w:r w:rsidRPr="36A80A07">
        <w:rPr>
          <w:rStyle w:val="eop"/>
          <w:shd w:val="clear" w:color="auto" w:fill="FFFFFF"/>
        </w:rPr>
        <w:t> </w:t>
      </w:r>
    </w:p>
    <w:p w14:paraId="2D0FEB86" w14:textId="4180BEF4" w:rsidR="00960C35" w:rsidRPr="00336308" w:rsidRDefault="00960C35" w:rsidP="00A2282F">
      <w:pPr>
        <w:widowControl w:val="0"/>
        <w:spacing w:after="120"/>
        <w:rPr>
          <w:rFonts w:eastAsia="Times New Roman" w:cs="Calibri"/>
          <w:color w:val="000000"/>
          <w:spacing w:val="0"/>
          <w:kern w:val="28"/>
        </w:rPr>
      </w:pPr>
      <w:r w:rsidRPr="00336308">
        <w:rPr>
          <w:rFonts w:eastAsia="Times New Roman" w:cs="Arial"/>
          <w:color w:val="000000"/>
          <w:spacing w:val="0"/>
          <w:kern w:val="28"/>
        </w:rPr>
        <w:t xml:space="preserve">A suitability action must be supported by preponderant evidence, that is, the degree of relevant evidence that a reasonable person, considering the record as a whole, would accept as sufficient to find that a contested fact is more likely true than untrue. The burden of proof in establishing this evidence rests with the agency proposing and taking the suitability action. Evidence can appear in many forms, including, for example, employment records, police reports, or the </w:t>
      </w:r>
      <w:r w:rsidR="008044D5" w:rsidRPr="00336308">
        <w:rPr>
          <w:rFonts w:eastAsia="Times New Roman" w:cs="Arial"/>
          <w:color w:val="000000"/>
          <w:spacing w:val="0"/>
          <w:kern w:val="28"/>
        </w:rPr>
        <w:t xml:space="preserve">individual’s </w:t>
      </w:r>
      <w:r w:rsidRPr="00336308">
        <w:rPr>
          <w:rFonts w:eastAsia="Times New Roman" w:cs="Arial"/>
          <w:color w:val="000000"/>
          <w:spacing w:val="0"/>
          <w:kern w:val="28"/>
        </w:rPr>
        <w:t xml:space="preserve">admission. The overall evaluation of the evidence must clearly establish the conduct. </w:t>
      </w:r>
    </w:p>
    <w:p w14:paraId="56CB3714" w14:textId="5BF97523" w:rsidR="00960C35" w:rsidRPr="00336308" w:rsidRDefault="00960C35" w:rsidP="00A2282F">
      <w:pPr>
        <w:widowControl w:val="0"/>
        <w:spacing w:after="120"/>
        <w:rPr>
          <w:rFonts w:eastAsia="Times New Roman" w:cs="Arial"/>
          <w:color w:val="000000"/>
          <w:spacing w:val="0"/>
          <w:kern w:val="28"/>
        </w:rPr>
      </w:pPr>
      <w:r w:rsidRPr="00336308">
        <w:rPr>
          <w:rFonts w:eastAsia="Times New Roman" w:cs="Arial"/>
          <w:color w:val="000000"/>
          <w:spacing w:val="0"/>
          <w:kern w:val="28"/>
        </w:rPr>
        <w:t xml:space="preserve">If a suitability action is appealed, the charges brought against the person by the adjudicating agency are evaluated by the MSPB to determine if they are supported by preponderant evidence. This evaluation includes an assessment of the probative weight of the evidence. Probative weight of evidence refers to the relative weight or value the MSPB and the court system ascribe to various kinds of evidence. In developing and assessing evidence, the agency should strive to present the following types of evidence, arranged in order of probative weight: </w:t>
      </w:r>
    </w:p>
    <w:p w14:paraId="4D0CDE1B" w14:textId="0F4836C1" w:rsidR="00960C35" w:rsidRPr="00336308" w:rsidRDefault="00960C35" w:rsidP="00A14E2A">
      <w:pPr>
        <w:pStyle w:val="ListParagraph"/>
        <w:widowControl w:val="0"/>
        <w:numPr>
          <w:ilvl w:val="0"/>
          <w:numId w:val="28"/>
        </w:numPr>
        <w:spacing w:after="120"/>
        <w:rPr>
          <w:rFonts w:eastAsia="Times New Roman" w:cs="Arial"/>
          <w:color w:val="000000"/>
          <w:spacing w:val="0"/>
          <w:kern w:val="28"/>
        </w:rPr>
      </w:pPr>
      <w:r w:rsidRPr="00336308">
        <w:rPr>
          <w:rFonts w:eastAsia="Times New Roman" w:cs="Arial"/>
          <w:color w:val="000000"/>
          <w:spacing w:val="0"/>
          <w:kern w:val="28"/>
        </w:rPr>
        <w:t>Credible sworn testimony of witnesses at the hearing;</w:t>
      </w:r>
    </w:p>
    <w:p w14:paraId="01B1A042" w14:textId="5CF18078" w:rsidR="00960C35" w:rsidRPr="00336308" w:rsidRDefault="00960C35" w:rsidP="00A14E2A">
      <w:pPr>
        <w:pStyle w:val="ListParagraph"/>
        <w:widowControl w:val="0"/>
        <w:numPr>
          <w:ilvl w:val="0"/>
          <w:numId w:val="28"/>
        </w:numPr>
        <w:spacing w:after="120"/>
        <w:rPr>
          <w:rFonts w:eastAsia="Times New Roman" w:cs="Arial"/>
          <w:color w:val="000000"/>
          <w:spacing w:val="0"/>
          <w:kern w:val="28"/>
        </w:rPr>
      </w:pPr>
      <w:r w:rsidRPr="00336308">
        <w:rPr>
          <w:rFonts w:eastAsia="Times New Roman" w:cs="Arial"/>
          <w:color w:val="000000"/>
          <w:spacing w:val="0"/>
          <w:kern w:val="28"/>
        </w:rPr>
        <w:t>Signed, sworn affidavits, or unsworn declarations from sources;</w:t>
      </w:r>
    </w:p>
    <w:p w14:paraId="165DAD6A" w14:textId="6A524461" w:rsidR="00960C35" w:rsidRPr="00336308" w:rsidRDefault="00960C35" w:rsidP="00A14E2A">
      <w:pPr>
        <w:pStyle w:val="ListParagraph"/>
        <w:widowControl w:val="0"/>
        <w:numPr>
          <w:ilvl w:val="0"/>
          <w:numId w:val="28"/>
        </w:numPr>
        <w:spacing w:after="120"/>
        <w:rPr>
          <w:rFonts w:eastAsia="Times New Roman" w:cs="Arial"/>
          <w:color w:val="000000"/>
          <w:spacing w:val="0"/>
          <w:kern w:val="28"/>
        </w:rPr>
      </w:pPr>
      <w:r w:rsidRPr="00336308">
        <w:rPr>
          <w:rFonts w:eastAsia="Times New Roman" w:cs="Arial"/>
          <w:color w:val="000000"/>
          <w:spacing w:val="0"/>
          <w:kern w:val="28"/>
        </w:rPr>
        <w:t>Record information (certified true copies, if possible); and,</w:t>
      </w:r>
    </w:p>
    <w:p w14:paraId="008AE49C" w14:textId="0328972A" w:rsidR="00960C35" w:rsidRPr="00336308" w:rsidRDefault="00960C35" w:rsidP="00A14E2A">
      <w:pPr>
        <w:pStyle w:val="ListParagraph"/>
        <w:widowControl w:val="0"/>
        <w:numPr>
          <w:ilvl w:val="0"/>
          <w:numId w:val="28"/>
        </w:numPr>
        <w:spacing w:after="0"/>
        <w:rPr>
          <w:rFonts w:eastAsia="Times New Roman" w:cs="Arial"/>
          <w:color w:val="000000"/>
          <w:spacing w:val="0"/>
          <w:kern w:val="28"/>
        </w:rPr>
      </w:pPr>
      <w:r w:rsidRPr="00336308">
        <w:rPr>
          <w:rFonts w:eastAsia="Times New Roman" w:cs="Arial"/>
          <w:color w:val="000000"/>
          <w:spacing w:val="0"/>
          <w:kern w:val="28"/>
        </w:rPr>
        <w:t xml:space="preserve">Reports of investigation (the Investigator’s certification of the accuracy of the reports will give them added weight). </w:t>
      </w:r>
    </w:p>
    <w:p w14:paraId="6B70EDFD" w14:textId="77777777" w:rsidR="00960C35" w:rsidRPr="00336308" w:rsidRDefault="00960C35" w:rsidP="00A2282F">
      <w:pPr>
        <w:spacing w:after="0"/>
        <w:ind w:left="180"/>
        <w:rPr>
          <w:rFonts w:eastAsia="Times New Roman" w:cs="Times New Roman"/>
          <w:spacing w:val="0"/>
        </w:rPr>
      </w:pPr>
    </w:p>
    <w:p w14:paraId="18AD2FB9" w14:textId="6E6D9B25" w:rsidR="00960C35" w:rsidRPr="00336308" w:rsidRDefault="00960C35" w:rsidP="00A2282F">
      <w:pPr>
        <w:widowControl w:val="0"/>
        <w:spacing w:after="0"/>
        <w:rPr>
          <w:rFonts w:eastAsia="Times New Roman" w:cs="Arial"/>
          <w:color w:val="000000"/>
          <w:spacing w:val="0"/>
          <w:kern w:val="28"/>
        </w:rPr>
      </w:pPr>
      <w:r w:rsidRPr="00336308">
        <w:rPr>
          <w:rFonts w:eastAsia="Times New Roman" w:cs="Arial"/>
          <w:b/>
          <w:color w:val="000000"/>
          <w:spacing w:val="0"/>
          <w:kern w:val="28"/>
        </w:rPr>
        <w:t xml:space="preserve">Exercise Caution when Evaluating Evidence. </w:t>
      </w:r>
      <w:r w:rsidRPr="00336308">
        <w:rPr>
          <w:rFonts w:eastAsia="Times New Roman" w:cs="Arial"/>
          <w:color w:val="000000"/>
          <w:spacing w:val="0"/>
          <w:kern w:val="28"/>
        </w:rPr>
        <w:t xml:space="preserve">Do not assume that all information obtained during </w:t>
      </w:r>
      <w:r w:rsidR="004A73FE" w:rsidRPr="00336308">
        <w:rPr>
          <w:rFonts w:eastAsia="Times New Roman" w:cs="Arial"/>
          <w:color w:val="000000"/>
          <w:spacing w:val="0"/>
          <w:kern w:val="28"/>
        </w:rPr>
        <w:t>an</w:t>
      </w:r>
      <w:r w:rsidRPr="00336308">
        <w:rPr>
          <w:rFonts w:eastAsia="Times New Roman" w:cs="Arial"/>
          <w:color w:val="000000"/>
          <w:spacing w:val="0"/>
          <w:kern w:val="28"/>
        </w:rPr>
        <w:t xml:space="preserve"> investigation can be freely used and released. Depending on the information obtained, certain information may not be used by OPM or another adjudicating agency in the </w:t>
      </w:r>
      <w:r w:rsidRPr="00336308">
        <w:rPr>
          <w:rFonts w:eastAsia="Times New Roman" w:cs="Arial"/>
          <w:color w:val="000000"/>
          <w:spacing w:val="0"/>
          <w:kern w:val="28"/>
        </w:rPr>
        <w:lastRenderedPageBreak/>
        <w:t xml:space="preserve">notice of proposed suitability action, nor may such information be released to the subject in response to a request for the materials relied upon in proposing the suitability action, during an MSPB appeal, or other administrative or court proceeding. This information </w:t>
      </w:r>
      <w:r w:rsidR="00EB5654" w:rsidRPr="00336308">
        <w:rPr>
          <w:rFonts w:eastAsia="Times New Roman" w:cs="Arial"/>
          <w:color w:val="000000"/>
          <w:spacing w:val="0"/>
          <w:kern w:val="28"/>
        </w:rPr>
        <w:t>also</w:t>
      </w:r>
      <w:r w:rsidRPr="00336308">
        <w:rPr>
          <w:rFonts w:eastAsia="Times New Roman" w:cs="Arial"/>
          <w:color w:val="000000"/>
          <w:spacing w:val="0"/>
          <w:kern w:val="28"/>
        </w:rPr>
        <w:t xml:space="preserve"> cannot be referenced or used as part of the basis for taking a suitability action. </w:t>
      </w:r>
    </w:p>
    <w:p w14:paraId="470C903E" w14:textId="77777777" w:rsidR="00960C35" w:rsidRPr="00336308" w:rsidRDefault="00960C35" w:rsidP="00A2282F">
      <w:pPr>
        <w:widowControl w:val="0"/>
        <w:spacing w:after="120"/>
        <w:rPr>
          <w:rFonts w:eastAsia="Times New Roman" w:cs="Calibri"/>
          <w:color w:val="000000"/>
          <w:spacing w:val="0"/>
          <w:kern w:val="28"/>
        </w:rPr>
      </w:pPr>
      <w:r w:rsidRPr="00336308">
        <w:rPr>
          <w:rFonts w:eastAsia="Times New Roman" w:cs="Calibri"/>
          <w:color w:val="000000"/>
          <w:spacing w:val="0"/>
          <w:kern w:val="28"/>
        </w:rPr>
        <w:t> </w:t>
      </w:r>
    </w:p>
    <w:p w14:paraId="2DCD2E87" w14:textId="77777777" w:rsidR="000927F9" w:rsidRDefault="000927F9" w:rsidP="0089665E">
      <w:pPr>
        <w:pStyle w:val="Heading2"/>
        <w:rPr>
          <w:rStyle w:val="normaltextrun"/>
          <w:b w:val="0"/>
          <w:shd w:val="clear" w:color="auto" w:fill="FFFFFF"/>
        </w:rPr>
      </w:pPr>
      <w:bookmarkStart w:id="137" w:name="_Toc187052990"/>
      <w:bookmarkStart w:id="138" w:name="_Toc187924171"/>
      <w:r w:rsidRPr="548D0660">
        <w:rPr>
          <w:rStyle w:val="normaltextrun"/>
          <w:shd w:val="clear" w:color="auto" w:fill="FFFFFF"/>
        </w:rPr>
        <w:t>5.3 – Information Restricted from Use</w:t>
      </w:r>
      <w:bookmarkEnd w:id="137"/>
      <w:bookmarkEnd w:id="138"/>
    </w:p>
    <w:p w14:paraId="3A436A1D" w14:textId="6772AE1F" w:rsidR="00960C35" w:rsidRPr="00196B71" w:rsidRDefault="00960C35" w:rsidP="009A4F06">
      <w:pPr>
        <w:widowControl w:val="0"/>
        <w:spacing w:after="0"/>
        <w:rPr>
          <w:rFonts w:eastAsia="Times New Roman" w:cs="Arial"/>
          <w:color w:val="000000"/>
          <w:spacing w:val="0"/>
          <w:kern w:val="28"/>
        </w:rPr>
      </w:pPr>
      <w:r w:rsidRPr="00196B71">
        <w:rPr>
          <w:rFonts w:eastAsia="Times New Roman" w:cs="Arial"/>
          <w:color w:val="000000"/>
          <w:spacing w:val="0"/>
          <w:kern w:val="28"/>
        </w:rPr>
        <w:t xml:space="preserve">The information in this section is offered as an easy reference for adjudicators when considering what information can or cannot be used or released; however, each adjudicator must have a basic understanding of the Privacy Act as it relates to </w:t>
      </w:r>
      <w:r w:rsidR="5A12E7F8" w:rsidRPr="00196B71">
        <w:rPr>
          <w:rFonts w:eastAsia="Times New Roman" w:cs="Arial"/>
          <w:color w:val="000000"/>
          <w:spacing w:val="0"/>
          <w:kern w:val="28"/>
        </w:rPr>
        <w:t>their</w:t>
      </w:r>
      <w:r w:rsidRPr="00196B71">
        <w:rPr>
          <w:rFonts w:eastAsia="Times New Roman" w:cs="Arial"/>
          <w:color w:val="000000"/>
          <w:spacing w:val="0"/>
          <w:kern w:val="28"/>
        </w:rPr>
        <w:t xml:space="preserve">agency’s maintenance of Privacy Act records and how those records can be used. Familiarity with the Privacy Act promotes informed decision making in the adjudication process. </w:t>
      </w:r>
      <w:r w:rsidR="000927F9" w:rsidRPr="00196B71">
        <w:rPr>
          <w:rFonts w:eastAsia="Times New Roman" w:cs="Arial"/>
          <w:color w:val="000000"/>
          <w:spacing w:val="0"/>
          <w:kern w:val="28"/>
        </w:rPr>
        <w:t>Information used as a basis for a suitability action must be releasable to the individual, both in the written notice of proposed action and final decision, and via the materials relied upon, should the individual make such a request. The agency must not consider the following as a basis for an action as it is not releasable to the individual.</w:t>
      </w:r>
    </w:p>
    <w:p w14:paraId="474AAED4" w14:textId="77777777" w:rsidR="00960C35" w:rsidRPr="00196B71" w:rsidRDefault="00960C35" w:rsidP="009A4F06">
      <w:pPr>
        <w:widowControl w:val="0"/>
        <w:spacing w:after="120"/>
        <w:rPr>
          <w:rFonts w:eastAsia="Times New Roman" w:cs="Calibri"/>
          <w:color w:val="000000"/>
          <w:spacing w:val="0"/>
          <w:kern w:val="28"/>
        </w:rPr>
      </w:pPr>
      <w:r w:rsidRPr="00196B71">
        <w:rPr>
          <w:rFonts w:eastAsia="Times New Roman" w:cs="Calibri"/>
          <w:color w:val="000000"/>
          <w:spacing w:val="0"/>
          <w:kern w:val="28"/>
        </w:rPr>
        <w:t> </w:t>
      </w:r>
    </w:p>
    <w:p w14:paraId="09EC7058" w14:textId="41174253" w:rsidR="00960C35" w:rsidRPr="00196B71" w:rsidRDefault="00960C35" w:rsidP="009A4F06">
      <w:pPr>
        <w:widowControl w:val="0"/>
        <w:spacing w:after="120"/>
        <w:rPr>
          <w:rFonts w:eastAsia="Times New Roman" w:cs="Calibri"/>
          <w:color w:val="000000"/>
          <w:spacing w:val="0"/>
          <w:kern w:val="28"/>
        </w:rPr>
      </w:pPr>
      <w:r w:rsidRPr="00196B71">
        <w:rPr>
          <w:rFonts w:eastAsia="Times New Roman" w:cs="Arial"/>
          <w:b/>
          <w:color w:val="000000"/>
          <w:spacing w:val="0"/>
          <w:kern w:val="28"/>
        </w:rPr>
        <w:t xml:space="preserve">Confidential or Protected Source Information. </w:t>
      </w:r>
      <w:r w:rsidRPr="00196B71">
        <w:rPr>
          <w:rFonts w:eastAsia="Times New Roman" w:cs="Arial"/>
          <w:color w:val="000000"/>
          <w:spacing w:val="0"/>
          <w:kern w:val="28"/>
        </w:rPr>
        <w:t xml:space="preserve">Information obtained solely from a source who has been granted an express promise that their identity would be held in confidence (hereinafter referred to as a confidential source) cannot be used in whole or part to form the basis for a suitability action. Protecting a source’s identity may extend beyond protecting only their name since the information the source provided may be identifiable to the source. This prohibition does not apply to information obtained from public records, law enforcement records, or Federal personnel records which could be obtained by the </w:t>
      </w:r>
      <w:r w:rsidR="000927F9" w:rsidRPr="00196B71">
        <w:rPr>
          <w:rFonts w:eastAsia="Times New Roman" w:cs="Arial"/>
          <w:color w:val="000000"/>
          <w:spacing w:val="0"/>
          <w:kern w:val="28"/>
        </w:rPr>
        <w:t xml:space="preserve">individua </w:t>
      </w:r>
      <w:r w:rsidR="008044D5" w:rsidRPr="00196B71">
        <w:rPr>
          <w:rFonts w:eastAsia="Times New Roman" w:cs="Arial"/>
          <w:color w:val="000000"/>
          <w:spacing w:val="0"/>
          <w:kern w:val="28"/>
        </w:rPr>
        <w:t>up</w:t>
      </w:r>
      <w:r w:rsidRPr="00196B71">
        <w:rPr>
          <w:rFonts w:eastAsia="Times New Roman" w:cs="Arial"/>
          <w:color w:val="000000"/>
          <w:spacing w:val="0"/>
          <w:kern w:val="28"/>
        </w:rPr>
        <w:t xml:space="preserve">on request. </w:t>
      </w:r>
    </w:p>
    <w:p w14:paraId="4E9E9278" w14:textId="07F66F63" w:rsidR="00960C35" w:rsidRPr="00196B71" w:rsidRDefault="00960C35" w:rsidP="009A4F06">
      <w:pPr>
        <w:widowControl w:val="0"/>
        <w:spacing w:after="0"/>
        <w:rPr>
          <w:rFonts w:eastAsia="Times New Roman" w:cs="Arial"/>
          <w:color w:val="000000"/>
          <w:spacing w:val="0"/>
          <w:kern w:val="28"/>
        </w:rPr>
      </w:pPr>
    </w:p>
    <w:p w14:paraId="44337F8A" w14:textId="5A352314" w:rsidR="00960C35" w:rsidRPr="00196B71" w:rsidRDefault="00960C35" w:rsidP="009A4F06">
      <w:pPr>
        <w:widowControl w:val="0"/>
        <w:spacing w:after="0"/>
        <w:rPr>
          <w:rFonts w:eastAsia="Times New Roman" w:cs="Arial"/>
          <w:color w:val="000000"/>
          <w:spacing w:val="0"/>
          <w:kern w:val="28"/>
        </w:rPr>
      </w:pPr>
      <w:r w:rsidRPr="00196B71">
        <w:rPr>
          <w:rFonts w:eastAsia="Times New Roman" w:cs="Arial"/>
          <w:b/>
          <w:color w:val="000000"/>
          <w:spacing w:val="0"/>
          <w:kern w:val="28"/>
        </w:rPr>
        <w:t xml:space="preserve">Sensitive or Restricted Medical Information. </w:t>
      </w:r>
      <w:r w:rsidRPr="00196B71">
        <w:rPr>
          <w:rFonts w:eastAsia="Times New Roman" w:cs="Arial"/>
          <w:color w:val="000000"/>
          <w:spacing w:val="0"/>
          <w:kern w:val="28"/>
        </w:rPr>
        <w:t xml:space="preserve">When collecting medical and/or psychiatric information, </w:t>
      </w:r>
      <w:r w:rsidR="000927F9" w:rsidRPr="00196B71">
        <w:rPr>
          <w:rFonts w:eastAsia="Times New Roman" w:cs="Arial"/>
          <w:color w:val="000000"/>
          <w:spacing w:val="0"/>
          <w:kern w:val="28"/>
        </w:rPr>
        <w:t xml:space="preserve">the investigative service provider should </w:t>
      </w:r>
      <w:r w:rsidRPr="00196B71">
        <w:rPr>
          <w:rFonts w:eastAsia="Times New Roman" w:cs="Arial"/>
          <w:color w:val="000000"/>
          <w:spacing w:val="0"/>
          <w:kern w:val="28"/>
        </w:rPr>
        <w:t xml:space="preserve">attempt to ask medical practitioners or other qualified sources if the information may be released directly to the </w:t>
      </w:r>
      <w:r w:rsidR="000927F9" w:rsidRPr="00196B71">
        <w:rPr>
          <w:rFonts w:eastAsia="Times New Roman" w:cs="Arial"/>
          <w:color w:val="000000"/>
          <w:spacing w:val="0"/>
          <w:kern w:val="28"/>
        </w:rPr>
        <w:t xml:space="preserve">individual </w:t>
      </w:r>
      <w:r w:rsidRPr="00196B71">
        <w:rPr>
          <w:rFonts w:eastAsia="Times New Roman" w:cs="Arial"/>
          <w:color w:val="000000"/>
          <w:spacing w:val="0"/>
          <w:kern w:val="28"/>
        </w:rPr>
        <w:t xml:space="preserve">or only through a health care professional of the subject’s choice. When the practitioner indicates the information can be released only through a medical professional or direct release to the </w:t>
      </w:r>
      <w:r w:rsidR="000927F9" w:rsidRPr="00196B71">
        <w:rPr>
          <w:rFonts w:eastAsia="Times New Roman" w:cs="Arial"/>
          <w:color w:val="000000"/>
          <w:spacing w:val="0"/>
          <w:kern w:val="28"/>
        </w:rPr>
        <w:t>individual</w:t>
      </w:r>
      <w:r w:rsidRPr="00196B71">
        <w:rPr>
          <w:rFonts w:eastAsia="Times New Roman" w:cs="Arial"/>
          <w:color w:val="000000"/>
          <w:spacing w:val="0"/>
          <w:kern w:val="28"/>
        </w:rPr>
        <w:t xml:space="preserve"> is not otherwise indicated, any character or conduct information provided cannot be considered for the purposes of suitability</w:t>
      </w:r>
      <w:r w:rsidR="003324E9">
        <w:rPr>
          <w:rFonts w:eastAsia="Times New Roman" w:cs="Arial"/>
          <w:color w:val="000000"/>
          <w:spacing w:val="0"/>
          <w:kern w:val="28"/>
        </w:rPr>
        <w:t>.</w:t>
      </w:r>
      <w:r w:rsidRPr="00196B71">
        <w:rPr>
          <w:rFonts w:eastAsia="Times New Roman" w:cs="Arial"/>
          <w:color w:val="000000"/>
          <w:spacing w:val="0"/>
          <w:kern w:val="28"/>
        </w:rPr>
        <w:t xml:space="preserve"> </w:t>
      </w:r>
    </w:p>
    <w:p w14:paraId="06B0A428" w14:textId="6502D96B" w:rsidR="00960C35" w:rsidRPr="00196B71" w:rsidRDefault="00960C35" w:rsidP="009A4F06">
      <w:pPr>
        <w:widowControl w:val="0"/>
        <w:spacing w:after="0"/>
        <w:rPr>
          <w:rFonts w:eastAsia="Times New Roman" w:cs="Arial"/>
          <w:color w:val="000000"/>
          <w:spacing w:val="0"/>
          <w:kern w:val="28"/>
        </w:rPr>
      </w:pPr>
    </w:p>
    <w:p w14:paraId="3E83FB54" w14:textId="56380573" w:rsidR="00960C35" w:rsidRPr="00196B71" w:rsidRDefault="00960C35" w:rsidP="009A4F06">
      <w:pPr>
        <w:widowControl w:val="0"/>
        <w:spacing w:after="0"/>
        <w:rPr>
          <w:rFonts w:eastAsia="Times New Roman" w:cs="Arial"/>
          <w:color w:val="000000"/>
          <w:spacing w:val="0"/>
          <w:kern w:val="28"/>
        </w:rPr>
      </w:pPr>
      <w:r w:rsidRPr="00196B71">
        <w:rPr>
          <w:rFonts w:eastAsia="Times New Roman" w:cs="Arial"/>
          <w:b/>
          <w:color w:val="000000"/>
          <w:spacing w:val="0"/>
          <w:kern w:val="28"/>
        </w:rPr>
        <w:t xml:space="preserve">Information </w:t>
      </w:r>
      <w:r w:rsidR="008044D5" w:rsidRPr="00196B71">
        <w:rPr>
          <w:rFonts w:eastAsia="Times New Roman" w:cs="Arial"/>
          <w:b/>
          <w:color w:val="000000"/>
          <w:spacing w:val="0"/>
          <w:kern w:val="28"/>
        </w:rPr>
        <w:t>C</w:t>
      </w:r>
      <w:r w:rsidRPr="00196B71">
        <w:rPr>
          <w:rFonts w:eastAsia="Times New Roman" w:cs="Arial"/>
          <w:b/>
          <w:color w:val="000000"/>
          <w:spacing w:val="0"/>
          <w:kern w:val="28"/>
        </w:rPr>
        <w:t xml:space="preserve">oncerning Other Persons (3rd Party Information). </w:t>
      </w:r>
      <w:r w:rsidRPr="00196B71">
        <w:rPr>
          <w:rFonts w:eastAsia="Times New Roman" w:cs="Arial"/>
          <w:color w:val="000000"/>
          <w:spacing w:val="0"/>
          <w:kern w:val="28"/>
        </w:rPr>
        <w:t xml:space="preserve">In evaluating suitability, only the </w:t>
      </w:r>
      <w:r w:rsidR="008044D5" w:rsidRPr="00196B71">
        <w:rPr>
          <w:rFonts w:eastAsia="Times New Roman" w:cs="Arial"/>
          <w:color w:val="000000"/>
          <w:spacing w:val="0"/>
          <w:kern w:val="28"/>
        </w:rPr>
        <w:t>individual’s</w:t>
      </w:r>
      <w:r w:rsidRPr="00196B71">
        <w:rPr>
          <w:rFonts w:eastAsia="Times New Roman" w:cs="Arial"/>
          <w:color w:val="000000"/>
          <w:spacing w:val="0"/>
          <w:kern w:val="28"/>
        </w:rPr>
        <w:t xml:space="preserve"> own character and conduct may form the basis for a determination. Therefore, investigative information contained in the </w:t>
      </w:r>
      <w:r w:rsidR="008044D5" w:rsidRPr="00196B71">
        <w:rPr>
          <w:rFonts w:eastAsia="Times New Roman" w:cs="Arial"/>
          <w:color w:val="000000"/>
          <w:spacing w:val="0"/>
          <w:kern w:val="28"/>
        </w:rPr>
        <w:t>individual’</w:t>
      </w:r>
      <w:r w:rsidRPr="00196B71">
        <w:rPr>
          <w:rFonts w:eastAsia="Times New Roman" w:cs="Arial"/>
          <w:color w:val="000000"/>
          <w:spacing w:val="0"/>
          <w:kern w:val="28"/>
        </w:rPr>
        <w:t>s record that relates to another individual, must not be considered when proposing or issuing a suitability action.</w:t>
      </w:r>
    </w:p>
    <w:p w14:paraId="64F702B7" w14:textId="77777777" w:rsidR="000927F9" w:rsidRPr="00196B71" w:rsidRDefault="000927F9" w:rsidP="009A4F06">
      <w:pPr>
        <w:widowControl w:val="0"/>
        <w:spacing w:after="0"/>
        <w:rPr>
          <w:rFonts w:eastAsia="Times New Roman" w:cs="Arial"/>
          <w:color w:val="000000"/>
          <w:spacing w:val="0"/>
          <w:kern w:val="28"/>
        </w:rPr>
      </w:pPr>
    </w:p>
    <w:p w14:paraId="684D9802" w14:textId="13523FE3" w:rsidR="00960C35" w:rsidRPr="00196B71" w:rsidRDefault="008044D5" w:rsidP="009A4F06">
      <w:pPr>
        <w:widowControl w:val="0"/>
        <w:spacing w:after="0"/>
        <w:rPr>
          <w:rFonts w:eastAsia="Times New Roman" w:cs="Arial"/>
          <w:color w:val="000000"/>
          <w:spacing w:val="0"/>
          <w:kern w:val="28"/>
        </w:rPr>
      </w:pPr>
      <w:r w:rsidRPr="00196B71">
        <w:rPr>
          <w:rFonts w:eastAsia="Times New Roman" w:cs="Calibri"/>
          <w:b/>
          <w:color w:val="000000"/>
          <w:spacing w:val="0"/>
          <w:kern w:val="28"/>
        </w:rPr>
        <w:t>C</w:t>
      </w:r>
      <w:r w:rsidR="00960C35" w:rsidRPr="00196B71">
        <w:rPr>
          <w:rFonts w:eastAsia="Times New Roman" w:cs="Arial"/>
          <w:b/>
          <w:color w:val="000000"/>
          <w:spacing w:val="0"/>
          <w:kern w:val="28"/>
        </w:rPr>
        <w:t xml:space="preserve">lassified Material, such as Confidential, Secret, or Top Secret. </w:t>
      </w:r>
      <w:r w:rsidR="00960C35" w:rsidRPr="00196B71">
        <w:rPr>
          <w:rFonts w:eastAsia="Times New Roman" w:cs="Arial"/>
          <w:color w:val="000000"/>
          <w:spacing w:val="0"/>
          <w:kern w:val="28"/>
        </w:rPr>
        <w:t>Classified material must not be considered when proposing or issuing a suitability action</w:t>
      </w:r>
      <w:r w:rsidR="000927F9" w:rsidRPr="00196B71">
        <w:rPr>
          <w:rFonts w:eastAsia="Times New Roman" w:cs="Arial"/>
          <w:color w:val="000000"/>
          <w:spacing w:val="0"/>
          <w:kern w:val="28"/>
        </w:rPr>
        <w:t>.</w:t>
      </w:r>
      <w:r w:rsidR="00960C35" w:rsidRPr="00196B71">
        <w:rPr>
          <w:rFonts w:eastAsia="Times New Roman" w:cs="Arial"/>
          <w:color w:val="000000"/>
          <w:spacing w:val="0"/>
          <w:kern w:val="28"/>
        </w:rPr>
        <w:t xml:space="preserve"> </w:t>
      </w:r>
    </w:p>
    <w:p w14:paraId="03CD8469" w14:textId="6BA9C6D0" w:rsidR="00960C35" w:rsidRPr="00196B71" w:rsidRDefault="00960C35" w:rsidP="009A4F06">
      <w:pPr>
        <w:widowControl w:val="0"/>
        <w:spacing w:after="0"/>
        <w:rPr>
          <w:rFonts w:eastAsia="Times New Roman" w:cs="Arial"/>
          <w:color w:val="000000"/>
          <w:spacing w:val="0"/>
          <w:kern w:val="28"/>
        </w:rPr>
      </w:pPr>
    </w:p>
    <w:p w14:paraId="79C3CCC6" w14:textId="50880BFE" w:rsidR="00960C35" w:rsidRPr="00196B71" w:rsidRDefault="00960C35" w:rsidP="009A4F06">
      <w:pPr>
        <w:widowControl w:val="0"/>
        <w:spacing w:after="0"/>
        <w:rPr>
          <w:rFonts w:eastAsia="Times New Roman" w:cs="Arial"/>
          <w:color w:val="000000"/>
          <w:spacing w:val="0"/>
          <w:kern w:val="28"/>
        </w:rPr>
      </w:pPr>
      <w:r w:rsidRPr="00196B71">
        <w:rPr>
          <w:rFonts w:eastAsia="Times New Roman" w:cs="Arial"/>
          <w:b/>
          <w:color w:val="000000"/>
          <w:spacing w:val="0"/>
          <w:kern w:val="28"/>
        </w:rPr>
        <w:t xml:space="preserve">OPM Test Material. </w:t>
      </w:r>
      <w:r w:rsidRPr="00196B71">
        <w:rPr>
          <w:rFonts w:eastAsia="Times New Roman" w:cs="Arial"/>
          <w:color w:val="000000"/>
          <w:spacing w:val="0"/>
          <w:kern w:val="28"/>
        </w:rPr>
        <w:t>OPM</w:t>
      </w:r>
      <w:r w:rsidR="000927F9" w:rsidRPr="00196B71">
        <w:rPr>
          <w:rFonts w:eastAsia="Times New Roman" w:cs="Arial"/>
          <w:color w:val="000000"/>
          <w:spacing w:val="0"/>
          <w:kern w:val="28"/>
        </w:rPr>
        <w:t xml:space="preserve"> </w:t>
      </w:r>
      <w:r w:rsidR="00344CE4">
        <w:rPr>
          <w:rFonts w:eastAsia="Times New Roman" w:cs="Arial"/>
          <w:color w:val="000000"/>
          <w:spacing w:val="0"/>
          <w:kern w:val="28"/>
        </w:rPr>
        <w:t>must</w:t>
      </w:r>
      <w:r w:rsidRPr="00196B71">
        <w:rPr>
          <w:rFonts w:eastAsia="Times New Roman" w:cs="Arial"/>
          <w:color w:val="000000"/>
          <w:spacing w:val="0"/>
          <w:kern w:val="28"/>
        </w:rPr>
        <w:t xml:space="preserve"> </w:t>
      </w:r>
      <w:r w:rsidR="000927F9" w:rsidRPr="00196B71">
        <w:rPr>
          <w:rFonts w:eastAsia="Times New Roman" w:cs="Arial"/>
          <w:color w:val="000000"/>
          <w:spacing w:val="0"/>
          <w:kern w:val="28"/>
        </w:rPr>
        <w:t xml:space="preserve">be consulted before </w:t>
      </w:r>
      <w:r w:rsidRPr="00196B71">
        <w:rPr>
          <w:rFonts w:eastAsia="Times New Roman" w:cs="Arial"/>
          <w:color w:val="000000"/>
          <w:spacing w:val="0"/>
          <w:kern w:val="28"/>
        </w:rPr>
        <w:t xml:space="preserve">test material </w:t>
      </w:r>
      <w:r w:rsidR="000927F9" w:rsidRPr="00196B71">
        <w:rPr>
          <w:rFonts w:eastAsia="Times New Roman" w:cs="Arial"/>
          <w:color w:val="000000"/>
          <w:spacing w:val="0"/>
          <w:kern w:val="28"/>
        </w:rPr>
        <w:t xml:space="preserve">could be considered. </w:t>
      </w:r>
    </w:p>
    <w:p w14:paraId="2A482929" w14:textId="77777777" w:rsidR="000927F9" w:rsidRPr="00196B71" w:rsidRDefault="000927F9" w:rsidP="009A4F06">
      <w:pPr>
        <w:widowControl w:val="0"/>
        <w:spacing w:after="0"/>
        <w:rPr>
          <w:rFonts w:eastAsia="Times New Roman" w:cs="Arial"/>
          <w:color w:val="000000"/>
          <w:spacing w:val="0"/>
          <w:kern w:val="28"/>
        </w:rPr>
      </w:pPr>
    </w:p>
    <w:p w14:paraId="724675DD" w14:textId="724ACF95" w:rsidR="00960C35" w:rsidRPr="00196B71" w:rsidRDefault="00960C35" w:rsidP="009A4F06">
      <w:pPr>
        <w:widowControl w:val="0"/>
        <w:spacing w:after="0"/>
        <w:rPr>
          <w:rFonts w:eastAsia="Times New Roman" w:cs="Arial"/>
          <w:color w:val="000000"/>
          <w:spacing w:val="0"/>
          <w:kern w:val="28"/>
        </w:rPr>
      </w:pPr>
      <w:r w:rsidRPr="2AEFA46C">
        <w:rPr>
          <w:rFonts w:eastAsia="Times New Roman" w:cs="Arial"/>
          <w:b/>
          <w:bCs/>
          <w:color w:val="000000"/>
          <w:spacing w:val="0"/>
          <w:kern w:val="28"/>
        </w:rPr>
        <w:t xml:space="preserve">Information Otherwise Exempt from Release by the Privacy Act. </w:t>
      </w:r>
      <w:r w:rsidRPr="00196B71">
        <w:rPr>
          <w:rFonts w:eastAsia="Times New Roman" w:cs="Arial"/>
          <w:color w:val="000000"/>
          <w:spacing w:val="0"/>
          <w:kern w:val="28"/>
        </w:rPr>
        <w:t>Certain categories of information are exempt from release in connection to a Privacy Act request because the release would be harmful to a government or private interest (e.g., information related solely to the internal personnel rules and practices of an agency).</w:t>
      </w:r>
      <w:r w:rsidRPr="2AEFA46C">
        <w:rPr>
          <w:rFonts w:eastAsia="Times New Roman" w:cs="Arial"/>
          <w:b/>
          <w:bCs/>
          <w:color w:val="000000"/>
          <w:spacing w:val="0"/>
          <w:kern w:val="28"/>
        </w:rPr>
        <w:t xml:space="preserve"> </w:t>
      </w:r>
      <w:r w:rsidRPr="00196B71">
        <w:rPr>
          <w:rFonts w:eastAsia="Times New Roman" w:cs="Arial"/>
          <w:color w:val="000000"/>
          <w:spacing w:val="0"/>
          <w:kern w:val="28"/>
        </w:rPr>
        <w:t xml:space="preserve">When the information being reviewed appears to fall under a Privacy Act exemption, the material </w:t>
      </w:r>
      <w:r w:rsidR="00AC478B" w:rsidRPr="00196B71">
        <w:rPr>
          <w:rFonts w:eastAsia="Times New Roman" w:cs="Arial"/>
          <w:color w:val="000000"/>
          <w:spacing w:val="0"/>
          <w:kern w:val="28"/>
        </w:rPr>
        <w:t xml:space="preserve">should be </w:t>
      </w:r>
      <w:r w:rsidRPr="00196B71">
        <w:rPr>
          <w:rFonts w:eastAsia="Times New Roman" w:cs="Arial"/>
          <w:color w:val="000000"/>
          <w:spacing w:val="0"/>
          <w:kern w:val="28"/>
        </w:rPr>
        <w:t>treated as restricted from use</w:t>
      </w:r>
      <w:r w:rsidR="00AC478B" w:rsidRPr="00196B71">
        <w:rPr>
          <w:rFonts w:eastAsia="Times New Roman" w:cs="Arial"/>
          <w:color w:val="000000"/>
          <w:spacing w:val="0"/>
          <w:kern w:val="28"/>
        </w:rPr>
        <w:t xml:space="preserve"> unless the originating agency is consult</w:t>
      </w:r>
      <w:r w:rsidR="4599A02B" w:rsidRPr="00196B71">
        <w:rPr>
          <w:rFonts w:eastAsia="Times New Roman" w:cs="Arial"/>
          <w:color w:val="000000"/>
          <w:spacing w:val="0"/>
          <w:kern w:val="28"/>
        </w:rPr>
        <w:t>ed</w:t>
      </w:r>
      <w:r w:rsidR="00AC478B" w:rsidRPr="00196B71">
        <w:rPr>
          <w:rFonts w:eastAsia="Times New Roman" w:cs="Arial"/>
          <w:color w:val="000000"/>
          <w:spacing w:val="0"/>
          <w:kern w:val="28"/>
        </w:rPr>
        <w:t xml:space="preserve"> and agrees with the release. </w:t>
      </w:r>
    </w:p>
    <w:p w14:paraId="5FE2FC8F" w14:textId="77777777" w:rsidR="00AC478B" w:rsidRPr="00196B71" w:rsidRDefault="00AC478B" w:rsidP="009A4F06">
      <w:pPr>
        <w:widowControl w:val="0"/>
        <w:spacing w:after="0"/>
        <w:rPr>
          <w:rFonts w:eastAsia="Times New Roman" w:cs="Arial"/>
          <w:color w:val="000000"/>
          <w:spacing w:val="0"/>
          <w:kern w:val="28"/>
        </w:rPr>
      </w:pPr>
    </w:p>
    <w:p w14:paraId="7382E378" w14:textId="14164D6D" w:rsidR="00AC478B" w:rsidRDefault="00AC478B" w:rsidP="004E55B9">
      <w:pPr>
        <w:pStyle w:val="Heading2"/>
        <w:rPr>
          <w:rStyle w:val="eop"/>
          <w:b w:val="0"/>
          <w:shd w:val="clear" w:color="auto" w:fill="FFFFFF"/>
        </w:rPr>
      </w:pPr>
      <w:bookmarkStart w:id="139" w:name="_Toc187052991"/>
      <w:bookmarkStart w:id="140" w:name="_Toc187924172"/>
      <w:r w:rsidRPr="548D0660">
        <w:rPr>
          <w:rStyle w:val="normaltextrun"/>
          <w:shd w:val="clear" w:color="auto" w:fill="FFFFFF"/>
        </w:rPr>
        <w:t>5.4 – Disseminating Investigative Material</w:t>
      </w:r>
      <w:bookmarkEnd w:id="139"/>
      <w:bookmarkEnd w:id="140"/>
      <w:r w:rsidRPr="548D0660">
        <w:rPr>
          <w:rStyle w:val="eop"/>
          <w:shd w:val="clear" w:color="auto" w:fill="FFFFFF"/>
        </w:rPr>
        <w:t> </w:t>
      </w:r>
    </w:p>
    <w:p w14:paraId="5192F39D" w14:textId="6A9DA8F2" w:rsidR="00F4347E" w:rsidRDefault="00576FA1" w:rsidP="00C61E9B">
      <w:pPr>
        <w:widowControl w:val="0"/>
        <w:spacing w:after="0"/>
        <w:rPr>
          <w:rStyle w:val="eop"/>
          <w:szCs w:val="36"/>
          <w:shd w:val="clear" w:color="auto" w:fill="FFFFFF"/>
        </w:rPr>
      </w:pPr>
      <w:r>
        <w:rPr>
          <w:rStyle w:val="eop"/>
          <w:szCs w:val="36"/>
          <w:shd w:val="clear" w:color="auto" w:fill="FFFFFF"/>
        </w:rPr>
        <w:t>Executive Order 13467, as amended, Reforming Processes Related to Suitability for Government Employment, Fitness for Contractor Employees, and Eligibility for Access to Classified National Security Information, states that investigative agencies shall control the reports, information, and other investigative materials that are developed during the vetting process. Recipient departments and agencies may retain and use the received reports, information, and other investigative material for authorized purposes, including, but not limited to, adjudications, hearings and appeals, continuous evaluation, inspector general functions, counterintelligence, research, and insider threat programs, in compliance with the Privacy Act of 1974, as amended. Recipient departments and agencies shall not make any external releases of received information, other than to an investigative subject for the purpose of providing procedural rights or administrative due process</w:t>
      </w:r>
      <w:r w:rsidR="00F4347E">
        <w:rPr>
          <w:rStyle w:val="eop"/>
          <w:szCs w:val="36"/>
          <w:shd w:val="clear" w:color="auto" w:fill="FFFFFF"/>
        </w:rPr>
        <w:t xml:space="preserve">. </w:t>
      </w:r>
      <w:r w:rsidR="00344CE4">
        <w:rPr>
          <w:rStyle w:val="eop"/>
          <w:szCs w:val="36"/>
          <w:shd w:val="clear" w:color="auto" w:fill="FFFFFF"/>
        </w:rPr>
        <w:t>(</w:t>
      </w:r>
      <w:r w:rsidR="0048751C">
        <w:rPr>
          <w:rStyle w:val="eop"/>
          <w:szCs w:val="36"/>
          <w:shd w:val="clear" w:color="auto" w:fill="FFFFFF"/>
        </w:rPr>
        <w:t>S</w:t>
      </w:r>
      <w:r w:rsidR="00F4347E">
        <w:rPr>
          <w:rStyle w:val="eop"/>
          <w:szCs w:val="36"/>
          <w:shd w:val="clear" w:color="auto" w:fill="FFFFFF"/>
        </w:rPr>
        <w:t>ee E.O. 13467, as amended, section 1.1(e)</w:t>
      </w:r>
      <w:r w:rsidR="00344CE4">
        <w:rPr>
          <w:rStyle w:val="eop"/>
          <w:szCs w:val="36"/>
          <w:shd w:val="clear" w:color="auto" w:fill="FFFFFF"/>
        </w:rPr>
        <w:t>)</w:t>
      </w:r>
      <w:r w:rsidR="00F4347E">
        <w:rPr>
          <w:rStyle w:val="eop"/>
          <w:szCs w:val="36"/>
          <w:shd w:val="clear" w:color="auto" w:fill="FFFFFF"/>
        </w:rPr>
        <w:t>.</w:t>
      </w:r>
    </w:p>
    <w:p w14:paraId="54A6BBF0" w14:textId="77777777" w:rsidR="00F4347E" w:rsidRDefault="00F4347E" w:rsidP="00C61E9B">
      <w:pPr>
        <w:widowControl w:val="0"/>
        <w:spacing w:after="0"/>
        <w:rPr>
          <w:rStyle w:val="eop"/>
          <w:szCs w:val="36"/>
          <w:shd w:val="clear" w:color="auto" w:fill="FFFFFF"/>
        </w:rPr>
      </w:pPr>
    </w:p>
    <w:p w14:paraId="340592B4" w14:textId="24CDE62D" w:rsidR="00F4347E" w:rsidRDefault="00F4347E" w:rsidP="00C61E9B">
      <w:pPr>
        <w:widowControl w:val="0"/>
        <w:spacing w:after="0"/>
        <w:rPr>
          <w:rStyle w:val="eop"/>
          <w:szCs w:val="36"/>
          <w:shd w:val="clear" w:color="auto" w:fill="FFFFFF"/>
        </w:rPr>
      </w:pPr>
      <w:r>
        <w:rPr>
          <w:rStyle w:val="eop"/>
          <w:szCs w:val="36"/>
          <w:shd w:val="clear" w:color="auto" w:fill="FFFFFF"/>
        </w:rPr>
        <w:t xml:space="preserve">Questions about the proper use of reports and other records provided to the agency by an investigative service provider (ISP) should be directed to the ISP. </w:t>
      </w:r>
    </w:p>
    <w:p w14:paraId="55C21903" w14:textId="77777777" w:rsidR="00513DF5" w:rsidRPr="00196B71" w:rsidRDefault="00513DF5" w:rsidP="00C61E9B">
      <w:pPr>
        <w:widowControl w:val="0"/>
        <w:spacing w:after="0"/>
        <w:rPr>
          <w:rFonts w:eastAsia="Times New Roman" w:cs="Arial"/>
          <w:color w:val="000000"/>
          <w:spacing w:val="0"/>
          <w:kern w:val="28"/>
        </w:rPr>
      </w:pPr>
    </w:p>
    <w:p w14:paraId="56BF1038" w14:textId="7D9FEE3A" w:rsidR="00F4347E" w:rsidRDefault="00F4347E" w:rsidP="004E55B9">
      <w:pPr>
        <w:pStyle w:val="Heading3"/>
        <w:rPr>
          <w:rFonts w:ascii="Arial" w:eastAsia="Times New Roman" w:hAnsi="Arial" w:cs="Arial"/>
          <w:color w:val="000000"/>
          <w:spacing w:val="0"/>
          <w:kern w:val="28"/>
        </w:rPr>
      </w:pPr>
      <w:bookmarkStart w:id="141" w:name="_Toc187052992"/>
      <w:bookmarkStart w:id="142" w:name="_Toc187924173"/>
      <w:r w:rsidRPr="548D0660">
        <w:rPr>
          <w:rStyle w:val="normaltextrun"/>
          <w:shd w:val="clear" w:color="auto" w:fill="FFFFFF"/>
        </w:rPr>
        <w:t>5.4.1 – Making a Request to Use and Release Information</w:t>
      </w:r>
      <w:bookmarkEnd w:id="141"/>
      <w:bookmarkEnd w:id="142"/>
      <w:r w:rsidRPr="548D0660">
        <w:rPr>
          <w:rStyle w:val="eop"/>
          <w:shd w:val="clear" w:color="auto" w:fill="FFFFFF"/>
        </w:rPr>
        <w:t> </w:t>
      </w:r>
    </w:p>
    <w:p w14:paraId="3443CC36" w14:textId="01D14BFE" w:rsidR="00960C35" w:rsidRPr="006626FE" w:rsidRDefault="00F4347E" w:rsidP="00C61E9B">
      <w:pPr>
        <w:widowControl w:val="0"/>
        <w:spacing w:after="0"/>
        <w:rPr>
          <w:rFonts w:eastAsia="Times New Roman" w:cs="Arial"/>
          <w:color w:val="000000"/>
          <w:spacing w:val="0"/>
          <w:kern w:val="28"/>
        </w:rPr>
      </w:pPr>
      <w:r w:rsidRPr="006626FE">
        <w:rPr>
          <w:rFonts w:eastAsia="Times New Roman" w:cs="Arial"/>
          <w:color w:val="000000"/>
          <w:spacing w:val="0"/>
          <w:kern w:val="28"/>
        </w:rPr>
        <w:t xml:space="preserve">It may be necessary to make a request to use and release information directly from the record holding agency. In this case, agencies should refer to the </w:t>
      </w:r>
      <w:r w:rsidR="00960C35" w:rsidRPr="006626FE">
        <w:rPr>
          <w:rFonts w:eastAsia="Times New Roman" w:cs="Arial"/>
          <w:color w:val="000000"/>
          <w:spacing w:val="0"/>
          <w:kern w:val="28"/>
        </w:rPr>
        <w:t xml:space="preserve">refer to the Department of Justice’s website for the Freedom of Information/Privacy Act office contact information of other government agencies: </w:t>
      </w:r>
      <w:hyperlink r:id="rId30">
        <w:r w:rsidR="00960C35" w:rsidRPr="548D0660">
          <w:rPr>
            <w:rStyle w:val="Hyperlink"/>
            <w:rFonts w:eastAsia="Times New Roman" w:cs="Arial"/>
          </w:rPr>
          <w:t>http://www.foia.gov/report-makerequest.html</w:t>
        </w:r>
      </w:hyperlink>
      <w:r w:rsidR="00960C35" w:rsidRPr="006626FE">
        <w:rPr>
          <w:rFonts w:eastAsia="Times New Roman" w:cs="Arial"/>
          <w:color w:val="000000"/>
          <w:spacing w:val="0"/>
          <w:kern w:val="28"/>
        </w:rPr>
        <w:t xml:space="preserve">. </w:t>
      </w:r>
    </w:p>
    <w:p w14:paraId="3DA1BBE3" w14:textId="77777777" w:rsidR="00960C35" w:rsidRPr="00960C35" w:rsidRDefault="00960C35" w:rsidP="00C61E9B">
      <w:pPr>
        <w:spacing w:after="0"/>
        <w:rPr>
          <w:rFonts w:ascii="Times New Roman" w:eastAsia="Times New Roman" w:hAnsi="Times New Roman" w:cs="Times New Roman"/>
          <w:iCs/>
          <w:spacing w:val="0"/>
          <w:sz w:val="23"/>
          <w:szCs w:val="20"/>
        </w:rPr>
      </w:pPr>
    </w:p>
    <w:p w14:paraId="588E0BE3" w14:textId="12467869" w:rsidR="00AC7794" w:rsidRPr="00513DF5" w:rsidRDefault="00AC7794" w:rsidP="00BB263B">
      <w:pPr>
        <w:pStyle w:val="Heading2"/>
        <w:rPr>
          <w:rStyle w:val="normaltextrun"/>
          <w:b w:val="0"/>
          <w:shd w:val="clear" w:color="auto" w:fill="FFFFFF"/>
        </w:rPr>
      </w:pPr>
      <w:bookmarkStart w:id="143" w:name="_Toc187052993"/>
      <w:bookmarkStart w:id="144" w:name="_Toc187924174"/>
      <w:r w:rsidRPr="548D0660">
        <w:rPr>
          <w:rStyle w:val="normaltextrun"/>
          <w:shd w:val="clear" w:color="auto" w:fill="FFFFFF"/>
        </w:rPr>
        <w:t>5.</w:t>
      </w:r>
      <w:r w:rsidR="00FF323F" w:rsidRPr="548D0660">
        <w:rPr>
          <w:rStyle w:val="normaltextrun"/>
          <w:shd w:val="clear" w:color="auto" w:fill="FFFFFF"/>
        </w:rPr>
        <w:t>5</w:t>
      </w:r>
      <w:r w:rsidRPr="548D0660">
        <w:rPr>
          <w:rStyle w:val="normaltextrun"/>
          <w:shd w:val="clear" w:color="auto" w:fill="FFFFFF"/>
        </w:rPr>
        <w:t xml:space="preserve"> – Use of Credit</w:t>
      </w:r>
      <w:bookmarkEnd w:id="143"/>
      <w:bookmarkEnd w:id="144"/>
    </w:p>
    <w:p w14:paraId="2B4A7EA9" w14:textId="31DFA2F8" w:rsidR="00AC7794" w:rsidRPr="006626FE" w:rsidRDefault="00AC7794" w:rsidP="009A4421">
      <w:pPr>
        <w:spacing w:after="0"/>
        <w:rPr>
          <w:rFonts w:eastAsia="Times New Roman" w:cs="Times New Roman"/>
          <w:spacing w:val="0"/>
        </w:rPr>
      </w:pPr>
      <w:r w:rsidRPr="006626FE">
        <w:rPr>
          <w:rFonts w:eastAsia="Times New Roman" w:cs="Times New Roman"/>
          <w:spacing w:val="0"/>
        </w:rPr>
        <w:t>If a negative suitability determination is based in whole or in part on a consumer credit report, the agency must provide with the notice of proposed action, a copy of the credit report and a summary of rights related to procurement of the credit report. Following is sample language for the proposed action letter:</w:t>
      </w:r>
    </w:p>
    <w:p w14:paraId="1F47EBF0" w14:textId="77777777" w:rsidR="00AC7794" w:rsidRPr="006626FE" w:rsidRDefault="00AC7794" w:rsidP="009A4421">
      <w:pPr>
        <w:spacing w:after="0"/>
        <w:rPr>
          <w:rFonts w:eastAsia="Times New Roman" w:cs="Times New Roman"/>
          <w:spacing w:val="0"/>
        </w:rPr>
      </w:pPr>
    </w:p>
    <w:p w14:paraId="57A5D286" w14:textId="5E4C31F2" w:rsidR="00AC7794" w:rsidRPr="006626FE" w:rsidRDefault="00AC7794" w:rsidP="009A4421">
      <w:pPr>
        <w:spacing w:after="0"/>
        <w:ind w:left="720"/>
        <w:rPr>
          <w:rFonts w:eastAsia="Times New Roman" w:cs="Times New Roman"/>
          <w:spacing w:val="0"/>
        </w:rPr>
      </w:pPr>
      <w:r w:rsidRPr="006626FE">
        <w:rPr>
          <w:rFonts w:eastAsia="Times New Roman" w:cs="Times New Roman"/>
          <w:spacing w:val="0"/>
        </w:rPr>
        <w:t>Charge (</w:t>
      </w:r>
      <w:r w:rsidR="00344CE4">
        <w:rPr>
          <w:rFonts w:eastAsia="Times New Roman" w:cs="Times New Roman"/>
          <w:spacing w:val="0"/>
        </w:rPr>
        <w:t>insert charge number</w:t>
      </w:r>
      <w:r w:rsidRPr="006626FE">
        <w:rPr>
          <w:rFonts w:eastAsia="Times New Roman" w:cs="Times New Roman"/>
          <w:spacing w:val="0"/>
        </w:rPr>
        <w:t xml:space="preserve">) in the enclosed Summary of Charges contains information related to your credit history which was obtained under the provisions of </w:t>
      </w:r>
      <w:r w:rsidRPr="006626FE">
        <w:rPr>
          <w:rFonts w:eastAsia="Times New Roman" w:cs="Times New Roman"/>
          <w:spacing w:val="0"/>
        </w:rPr>
        <w:lastRenderedPageBreak/>
        <w:t xml:space="preserve">the Fair Credit Reporting Act. We have enclosed copies of your credit report and a summary of your rights related to our procurement of your credit report. This summary of rights is also available from the Federal Trade Commission’s Consumer Response Center at </w:t>
      </w:r>
      <w:hyperlink r:id="rId31" w:history="1">
        <w:r w:rsidRPr="006626FE">
          <w:rPr>
            <w:rFonts w:eastAsia="Times New Roman" w:cs="Times New Roman"/>
            <w:color w:val="0000FF"/>
            <w:spacing w:val="0"/>
            <w:u w:val="single"/>
          </w:rPr>
          <w:t>http://www.consumer.ftc.gov/articles/pdf-0096-fair-credit-reporting-act.pdf</w:t>
        </w:r>
      </w:hyperlink>
      <w:r w:rsidRPr="006626FE">
        <w:rPr>
          <w:rFonts w:eastAsia="Times New Roman" w:cs="Times New Roman"/>
          <w:color w:val="0000FF"/>
          <w:spacing w:val="0"/>
          <w:u w:val="single"/>
        </w:rPr>
        <w:t>.</w:t>
      </w:r>
    </w:p>
    <w:p w14:paraId="0F8A3560" w14:textId="77777777" w:rsidR="00AC7794" w:rsidRPr="006626FE" w:rsidRDefault="00AC7794" w:rsidP="009A4421">
      <w:pPr>
        <w:spacing w:after="0"/>
        <w:rPr>
          <w:rFonts w:eastAsia="Times New Roman" w:cs="Times New Roman"/>
          <w:spacing w:val="0"/>
        </w:rPr>
      </w:pPr>
    </w:p>
    <w:p w14:paraId="30FE3715" w14:textId="1CFF747B" w:rsidR="00960C35" w:rsidRPr="006626FE" w:rsidRDefault="00AC7794" w:rsidP="009A4421">
      <w:pPr>
        <w:spacing w:after="0"/>
        <w:rPr>
          <w:rFonts w:eastAsia="Times New Roman" w:cs="Times New Roman"/>
          <w:spacing w:val="0"/>
        </w:rPr>
      </w:pPr>
      <w:r w:rsidRPr="006626FE">
        <w:rPr>
          <w:rFonts w:eastAsia="Times New Roman" w:cs="Times New Roman"/>
          <w:spacing w:val="0"/>
        </w:rPr>
        <w:t>If making a final decision based in whole or in part on information related to credit history, the agency must provide information, such as the following example, in the final decision letter:</w:t>
      </w:r>
    </w:p>
    <w:p w14:paraId="7E22DEDF" w14:textId="77777777" w:rsidR="00AC7794" w:rsidRPr="006626FE" w:rsidRDefault="00AC7794" w:rsidP="009A4421">
      <w:pPr>
        <w:spacing w:after="0"/>
        <w:rPr>
          <w:rFonts w:eastAsia="Times New Roman" w:cs="Times New Roman"/>
          <w:spacing w:val="0"/>
        </w:rPr>
      </w:pPr>
    </w:p>
    <w:p w14:paraId="25332923" w14:textId="7DD640D9" w:rsidR="00AC7794" w:rsidRPr="006626FE" w:rsidRDefault="00344CE4" w:rsidP="009A4421">
      <w:pPr>
        <w:spacing w:after="0"/>
        <w:ind w:left="720"/>
        <w:rPr>
          <w:rFonts w:eastAsia="Times New Roman" w:cs="Times New Roman"/>
          <w:spacing w:val="0"/>
        </w:rPr>
      </w:pPr>
      <w:bookmarkStart w:id="145" w:name="_INFORMATION_RESTRICTED_FROM"/>
      <w:bookmarkEnd w:id="145"/>
      <w:r>
        <w:rPr>
          <w:rFonts w:eastAsia="Times New Roman" w:cs="Times New Roman"/>
          <w:spacing w:val="0"/>
        </w:rPr>
        <w:t>(Insert agency name)</w:t>
      </w:r>
      <w:r w:rsidR="00AC7794" w:rsidRPr="006626FE">
        <w:rPr>
          <w:rFonts w:eastAsia="Times New Roman" w:cs="Times New Roman"/>
          <w:spacing w:val="0"/>
        </w:rPr>
        <w:t xml:space="preserve"> decision was based in whole or in part on information related to your credit history which was obtained under the provisions of the Fair Credit Reporting Act (FCRA). The consumer reporting agency (CRA) which provided this information did so for employment purposes, which is permissible under the Act. The decision to take the negative action is entirely </w:t>
      </w:r>
      <w:r>
        <w:rPr>
          <w:rFonts w:eastAsia="Times New Roman" w:cs="Times New Roman"/>
          <w:spacing w:val="0"/>
        </w:rPr>
        <w:t>the agency’s</w:t>
      </w:r>
      <w:r w:rsidR="00AC7794" w:rsidRPr="006626FE">
        <w:rPr>
          <w:rFonts w:eastAsia="Times New Roman" w:cs="Times New Roman"/>
          <w:spacing w:val="0"/>
        </w:rPr>
        <w:t xml:space="preserve">. The CRA played no role in </w:t>
      </w:r>
      <w:r>
        <w:rPr>
          <w:rFonts w:eastAsia="Times New Roman" w:cs="Times New Roman"/>
          <w:spacing w:val="0"/>
        </w:rPr>
        <w:t xml:space="preserve">the </w:t>
      </w:r>
      <w:r w:rsidR="00AC7794" w:rsidRPr="006626FE">
        <w:rPr>
          <w:rFonts w:eastAsia="Times New Roman" w:cs="Times New Roman"/>
          <w:spacing w:val="0"/>
        </w:rPr>
        <w:t xml:space="preserve">decision and is unable to provide the specific reasons why the action was taken. </w:t>
      </w:r>
    </w:p>
    <w:p w14:paraId="36BDDA1D" w14:textId="77777777" w:rsidR="00AC7794" w:rsidRPr="006626FE" w:rsidRDefault="00AC7794" w:rsidP="009A4421">
      <w:pPr>
        <w:spacing w:after="0"/>
        <w:rPr>
          <w:rFonts w:eastAsia="Times New Roman" w:cs="Times New Roman"/>
          <w:spacing w:val="0"/>
        </w:rPr>
      </w:pPr>
    </w:p>
    <w:p w14:paraId="2C655F6E" w14:textId="56F84C8C" w:rsidR="00AC7794" w:rsidRPr="006626FE" w:rsidRDefault="00AC7794" w:rsidP="009A4421">
      <w:pPr>
        <w:spacing w:after="0"/>
        <w:ind w:left="720"/>
        <w:rPr>
          <w:rFonts w:eastAsia="Times New Roman" w:cs="Times New Roman"/>
          <w:spacing w:val="0"/>
        </w:rPr>
      </w:pPr>
      <w:r w:rsidRPr="006626FE">
        <w:rPr>
          <w:rFonts w:eastAsia="Times New Roman" w:cs="Times New Roman"/>
          <w:spacing w:val="0"/>
        </w:rPr>
        <w:t>If you disagree with the accuracy or completeness of any information in the credit report, you may contact: [Only include below address(es) if credit information used was obtained from that agency]</w:t>
      </w:r>
    </w:p>
    <w:p w14:paraId="480AD115" w14:textId="77777777" w:rsidR="00AC7794" w:rsidRPr="006626FE" w:rsidRDefault="00AC7794" w:rsidP="009A4421">
      <w:pPr>
        <w:tabs>
          <w:tab w:val="left" w:pos="2860"/>
        </w:tabs>
        <w:spacing w:after="0"/>
        <w:rPr>
          <w:rFonts w:eastAsia="Times New Roman" w:cs="Times New Roman"/>
          <w:spacing w:val="0"/>
        </w:rPr>
      </w:pPr>
    </w:p>
    <w:p w14:paraId="6203EF77" w14:textId="77777777" w:rsidR="00AC7794" w:rsidRPr="006626FE" w:rsidRDefault="00AC7794" w:rsidP="009A4421">
      <w:pPr>
        <w:tabs>
          <w:tab w:val="left" w:pos="2860"/>
        </w:tabs>
        <w:spacing w:after="0"/>
        <w:ind w:left="2860"/>
        <w:rPr>
          <w:rFonts w:eastAsia="Times New Roman" w:cs="Times New Roman"/>
          <w:spacing w:val="0"/>
        </w:rPr>
      </w:pPr>
      <w:r w:rsidRPr="006626FE">
        <w:rPr>
          <w:rFonts w:eastAsia="Times New Roman" w:cs="Times New Roman"/>
          <w:spacing w:val="0"/>
        </w:rPr>
        <w:t>ChoicePoint, Inc.</w:t>
      </w:r>
    </w:p>
    <w:p w14:paraId="4C068418" w14:textId="77777777" w:rsidR="00AC7794" w:rsidRPr="006626FE" w:rsidRDefault="00AC7794" w:rsidP="009A4421">
      <w:pPr>
        <w:tabs>
          <w:tab w:val="left" w:pos="2860"/>
        </w:tabs>
        <w:spacing w:after="0"/>
        <w:ind w:left="2860"/>
        <w:rPr>
          <w:rFonts w:eastAsia="Times New Roman" w:cs="Times New Roman"/>
          <w:spacing w:val="0"/>
        </w:rPr>
      </w:pPr>
      <w:r w:rsidRPr="006626FE">
        <w:rPr>
          <w:rFonts w:eastAsia="Times New Roman" w:cs="Times New Roman"/>
          <w:spacing w:val="0"/>
        </w:rPr>
        <w:t>Attention: WPS Data Operations Manager</w:t>
      </w:r>
    </w:p>
    <w:p w14:paraId="31065AB8" w14:textId="77777777" w:rsidR="00AC7794" w:rsidRPr="006626FE" w:rsidRDefault="00AC7794" w:rsidP="009A4421">
      <w:pPr>
        <w:tabs>
          <w:tab w:val="left" w:pos="2860"/>
        </w:tabs>
        <w:spacing w:after="0"/>
        <w:ind w:left="2860"/>
        <w:rPr>
          <w:rFonts w:eastAsia="Times New Roman" w:cs="Times New Roman"/>
          <w:spacing w:val="0"/>
        </w:rPr>
      </w:pPr>
      <w:r w:rsidRPr="006626FE">
        <w:rPr>
          <w:rFonts w:eastAsia="Times New Roman" w:cs="Times New Roman"/>
          <w:spacing w:val="0"/>
        </w:rPr>
        <w:t>Suite 200</w:t>
      </w:r>
    </w:p>
    <w:p w14:paraId="5BD3220E" w14:textId="77777777" w:rsidR="00AC7794" w:rsidRPr="006626FE" w:rsidRDefault="00AC7794" w:rsidP="009A4421">
      <w:pPr>
        <w:tabs>
          <w:tab w:val="left" w:pos="2860"/>
        </w:tabs>
        <w:spacing w:after="0"/>
        <w:ind w:left="2860"/>
        <w:rPr>
          <w:rFonts w:eastAsia="Times New Roman" w:cs="Times New Roman"/>
          <w:spacing w:val="0"/>
        </w:rPr>
      </w:pPr>
      <w:r w:rsidRPr="006626FE">
        <w:rPr>
          <w:rFonts w:eastAsia="Times New Roman" w:cs="Times New Roman"/>
          <w:spacing w:val="0"/>
        </w:rPr>
        <w:t>2885 Breckinridge Boulevard</w:t>
      </w:r>
    </w:p>
    <w:p w14:paraId="4DCE4B6D" w14:textId="38BE3152" w:rsidR="00AC7794" w:rsidRPr="006626FE" w:rsidRDefault="00AC7794" w:rsidP="009A4421">
      <w:pPr>
        <w:tabs>
          <w:tab w:val="left" w:pos="2860"/>
        </w:tabs>
        <w:spacing w:after="0"/>
        <w:ind w:left="2860"/>
        <w:rPr>
          <w:rFonts w:eastAsia="Times New Roman" w:cs="Times New Roman"/>
          <w:spacing w:val="0"/>
        </w:rPr>
      </w:pPr>
      <w:r w:rsidRPr="006626FE">
        <w:rPr>
          <w:rFonts w:eastAsia="Times New Roman" w:cs="Times New Roman"/>
          <w:spacing w:val="0"/>
        </w:rPr>
        <w:t>Duluth, GA 30096</w:t>
      </w:r>
      <w:r w:rsidRPr="006626FE">
        <w:rPr>
          <w:rFonts w:eastAsia="Times New Roman" w:cs="Arial"/>
          <w:spacing w:val="0"/>
        </w:rPr>
        <w:t xml:space="preserve"> </w:t>
      </w:r>
    </w:p>
    <w:p w14:paraId="7E30745A" w14:textId="77777777" w:rsidR="00AC7794" w:rsidRPr="006626FE" w:rsidRDefault="00AC7794" w:rsidP="009A4421">
      <w:pPr>
        <w:spacing w:after="0"/>
        <w:ind w:left="2880"/>
        <w:rPr>
          <w:rFonts w:eastAsia="Times New Roman" w:cs="Times New Roman"/>
          <w:spacing w:val="0"/>
        </w:rPr>
      </w:pPr>
    </w:p>
    <w:p w14:paraId="23ECA625" w14:textId="77777777" w:rsidR="00AC7794" w:rsidRPr="006626FE" w:rsidRDefault="00AC7794" w:rsidP="009A4421">
      <w:pPr>
        <w:spacing w:after="0"/>
        <w:ind w:left="2880"/>
        <w:rPr>
          <w:rFonts w:eastAsia="Calibri" w:cs="Times New Roman"/>
          <w:spacing w:val="0"/>
        </w:rPr>
      </w:pPr>
      <w:r w:rsidRPr="006626FE">
        <w:rPr>
          <w:rFonts w:eastAsia="Calibri" w:cs="Times New Roman"/>
          <w:spacing w:val="0"/>
        </w:rPr>
        <w:t>Equifax Information Services, LLC</w:t>
      </w:r>
    </w:p>
    <w:p w14:paraId="48AEA040" w14:textId="77777777" w:rsidR="00AC7794" w:rsidRPr="006626FE" w:rsidRDefault="00AC7794" w:rsidP="009A4421">
      <w:pPr>
        <w:spacing w:after="0"/>
        <w:ind w:left="2880"/>
        <w:rPr>
          <w:rFonts w:eastAsia="Calibri" w:cs="Times New Roman"/>
          <w:spacing w:val="0"/>
        </w:rPr>
      </w:pPr>
      <w:r w:rsidRPr="006626FE">
        <w:rPr>
          <w:rFonts w:eastAsia="Calibri" w:cs="Times New Roman"/>
          <w:spacing w:val="0"/>
        </w:rPr>
        <w:t>P.O. Box 740256</w:t>
      </w:r>
    </w:p>
    <w:p w14:paraId="6E4683AD" w14:textId="77777777" w:rsidR="00AC7794" w:rsidRPr="006626FE" w:rsidRDefault="00AC7794" w:rsidP="009A4421">
      <w:pPr>
        <w:spacing w:after="0"/>
        <w:ind w:left="2880"/>
        <w:rPr>
          <w:rFonts w:eastAsia="Calibri" w:cs="Times New Roman"/>
          <w:spacing w:val="0"/>
        </w:rPr>
      </w:pPr>
      <w:r w:rsidRPr="006626FE">
        <w:rPr>
          <w:rFonts w:eastAsia="Calibri" w:cs="Times New Roman"/>
          <w:spacing w:val="0"/>
        </w:rPr>
        <w:t>Atlanta, GA 30374-0256</w:t>
      </w:r>
    </w:p>
    <w:p w14:paraId="2236682E" w14:textId="77777777" w:rsidR="00AC7794" w:rsidRPr="006626FE" w:rsidRDefault="00AC7794" w:rsidP="009A4421">
      <w:pPr>
        <w:spacing w:after="0"/>
        <w:ind w:left="2880"/>
        <w:rPr>
          <w:rFonts w:eastAsia="Times New Roman" w:cs="Times New Roman"/>
          <w:spacing w:val="0"/>
        </w:rPr>
      </w:pPr>
      <w:r w:rsidRPr="006626FE">
        <w:rPr>
          <w:rFonts w:eastAsia="Times New Roman" w:cs="Times New Roman"/>
          <w:spacing w:val="0"/>
        </w:rPr>
        <w:t>800-685-1111</w:t>
      </w:r>
    </w:p>
    <w:p w14:paraId="1C476895" w14:textId="77777777" w:rsidR="00AC7794" w:rsidRPr="006626FE" w:rsidRDefault="00AC7794" w:rsidP="009A4421">
      <w:pPr>
        <w:spacing w:after="0"/>
        <w:ind w:left="2880"/>
        <w:rPr>
          <w:rFonts w:eastAsia="Times New Roman" w:cs="Times New Roman"/>
          <w:spacing w:val="0"/>
        </w:rPr>
      </w:pPr>
    </w:p>
    <w:p w14:paraId="7A83D49F" w14:textId="77777777" w:rsidR="00AC7794" w:rsidRPr="006626FE" w:rsidRDefault="00AC7794" w:rsidP="009A4421">
      <w:pPr>
        <w:tabs>
          <w:tab w:val="left" w:pos="2860"/>
        </w:tabs>
        <w:spacing w:after="0"/>
        <w:ind w:left="2880"/>
        <w:rPr>
          <w:rFonts w:eastAsia="Times New Roman" w:cs="Times New Roman"/>
          <w:spacing w:val="0"/>
        </w:rPr>
      </w:pPr>
      <w:r w:rsidRPr="006626FE">
        <w:rPr>
          <w:rFonts w:eastAsia="Times New Roman" w:cs="Times New Roman"/>
          <w:spacing w:val="0"/>
        </w:rPr>
        <w:t>Experian</w:t>
      </w:r>
    </w:p>
    <w:p w14:paraId="2E80D651" w14:textId="77777777" w:rsidR="00AC7794" w:rsidRPr="006626FE" w:rsidRDefault="00AC7794" w:rsidP="009A4421">
      <w:pPr>
        <w:tabs>
          <w:tab w:val="left" w:pos="2860"/>
        </w:tabs>
        <w:spacing w:after="0"/>
        <w:ind w:left="2880"/>
        <w:rPr>
          <w:rFonts w:eastAsia="Times New Roman" w:cs="Times New Roman"/>
          <w:spacing w:val="0"/>
        </w:rPr>
      </w:pPr>
      <w:r w:rsidRPr="006626FE">
        <w:rPr>
          <w:rFonts w:eastAsia="Times New Roman" w:cs="Times New Roman"/>
          <w:spacing w:val="0"/>
        </w:rPr>
        <w:t xml:space="preserve">701 Experian Parkway </w:t>
      </w:r>
    </w:p>
    <w:p w14:paraId="1FAAB353" w14:textId="267ADD24" w:rsidR="00AC7794" w:rsidRPr="006626FE" w:rsidRDefault="00AC7794" w:rsidP="009A4421">
      <w:pPr>
        <w:tabs>
          <w:tab w:val="left" w:pos="2860"/>
        </w:tabs>
        <w:spacing w:after="0"/>
        <w:ind w:left="2880"/>
        <w:rPr>
          <w:rFonts w:eastAsia="Times New Roman" w:cs="Times New Roman"/>
          <w:spacing w:val="0"/>
        </w:rPr>
      </w:pPr>
      <w:r w:rsidRPr="006626FE">
        <w:rPr>
          <w:rFonts w:eastAsia="Times New Roman" w:cs="Times New Roman"/>
          <w:spacing w:val="0"/>
        </w:rPr>
        <w:t>Allen, TX 75002</w:t>
      </w:r>
    </w:p>
    <w:p w14:paraId="72AE3F15" w14:textId="77777777" w:rsidR="00AC7794" w:rsidRPr="006626FE" w:rsidRDefault="00AC7794" w:rsidP="009A4421">
      <w:pPr>
        <w:tabs>
          <w:tab w:val="left" w:pos="2860"/>
        </w:tabs>
        <w:spacing w:after="0"/>
        <w:ind w:left="2880"/>
        <w:rPr>
          <w:rFonts w:eastAsia="Times New Roman" w:cs="Times New Roman"/>
          <w:spacing w:val="0"/>
        </w:rPr>
      </w:pPr>
      <w:r w:rsidRPr="006626FE">
        <w:rPr>
          <w:rFonts w:eastAsia="Times New Roman" w:cs="Times New Roman"/>
          <w:spacing w:val="0"/>
        </w:rPr>
        <w:t>1-888-397-3742</w:t>
      </w:r>
    </w:p>
    <w:p w14:paraId="21B6F0DB" w14:textId="77777777" w:rsidR="00AC7794" w:rsidRPr="006626FE" w:rsidRDefault="00AC7794" w:rsidP="009A4421">
      <w:pPr>
        <w:tabs>
          <w:tab w:val="left" w:pos="2860"/>
        </w:tabs>
        <w:spacing w:after="0"/>
        <w:ind w:left="2880"/>
        <w:rPr>
          <w:rFonts w:eastAsia="Times New Roman" w:cs="Times New Roman"/>
          <w:spacing w:val="0"/>
        </w:rPr>
      </w:pPr>
    </w:p>
    <w:p w14:paraId="0242CE84" w14:textId="77777777" w:rsidR="00AC7794" w:rsidRPr="006626FE" w:rsidRDefault="00AC7794" w:rsidP="009A4421">
      <w:pPr>
        <w:spacing w:after="0"/>
        <w:ind w:left="2880"/>
        <w:rPr>
          <w:rFonts w:eastAsia="Calibri" w:cs="Times New Roman"/>
          <w:spacing w:val="0"/>
        </w:rPr>
      </w:pPr>
      <w:r w:rsidRPr="006626FE">
        <w:rPr>
          <w:rFonts w:eastAsia="Calibri" w:cs="Times New Roman"/>
          <w:spacing w:val="0"/>
        </w:rPr>
        <w:t>TransUnion Consumer Relations Department</w:t>
      </w:r>
    </w:p>
    <w:p w14:paraId="57F93FF8" w14:textId="77777777" w:rsidR="00AC7794" w:rsidRPr="006626FE" w:rsidRDefault="00AC7794" w:rsidP="009A4421">
      <w:pPr>
        <w:spacing w:after="0"/>
        <w:ind w:left="2880"/>
        <w:rPr>
          <w:rFonts w:eastAsia="Calibri" w:cs="Times New Roman"/>
          <w:spacing w:val="0"/>
        </w:rPr>
      </w:pPr>
      <w:r w:rsidRPr="006626FE">
        <w:rPr>
          <w:rFonts w:eastAsia="Calibri" w:cs="Times New Roman"/>
          <w:spacing w:val="0"/>
        </w:rPr>
        <w:t>2 Baldwin Place</w:t>
      </w:r>
    </w:p>
    <w:p w14:paraId="1017F8C5" w14:textId="77777777" w:rsidR="00AC7794" w:rsidRPr="006626FE" w:rsidRDefault="00AC7794" w:rsidP="009A4421">
      <w:pPr>
        <w:spacing w:after="0"/>
        <w:ind w:left="2880"/>
        <w:rPr>
          <w:rFonts w:eastAsia="Calibri" w:cs="Times New Roman"/>
          <w:spacing w:val="0"/>
        </w:rPr>
      </w:pPr>
      <w:r w:rsidRPr="006626FE">
        <w:rPr>
          <w:rFonts w:eastAsia="Calibri" w:cs="Times New Roman"/>
          <w:spacing w:val="0"/>
        </w:rPr>
        <w:t>PO BOX 2000</w:t>
      </w:r>
    </w:p>
    <w:p w14:paraId="02AF68B9" w14:textId="77777777" w:rsidR="00AC7794" w:rsidRPr="006626FE" w:rsidRDefault="00AC7794" w:rsidP="009A4421">
      <w:pPr>
        <w:spacing w:after="0"/>
        <w:ind w:left="2880"/>
        <w:rPr>
          <w:rFonts w:eastAsia="Calibri" w:cs="Times New Roman"/>
          <w:spacing w:val="0"/>
        </w:rPr>
      </w:pPr>
      <w:r w:rsidRPr="006626FE">
        <w:rPr>
          <w:rFonts w:eastAsia="Calibri" w:cs="Times New Roman"/>
          <w:spacing w:val="0"/>
        </w:rPr>
        <w:t>Chester, PA 19022-2000</w:t>
      </w:r>
    </w:p>
    <w:p w14:paraId="1E513BCE" w14:textId="77777777" w:rsidR="00AC7794" w:rsidRPr="006626FE" w:rsidRDefault="00AC7794" w:rsidP="009A4421">
      <w:pPr>
        <w:spacing w:after="0"/>
        <w:ind w:left="2880"/>
        <w:rPr>
          <w:rFonts w:eastAsia="Calibri" w:cs="Times New Roman"/>
          <w:spacing w:val="0"/>
        </w:rPr>
      </w:pPr>
      <w:r w:rsidRPr="006626FE">
        <w:rPr>
          <w:rFonts w:eastAsia="Calibri" w:cs="Times New Roman"/>
          <w:spacing w:val="0"/>
        </w:rPr>
        <w:t>800-888-4213</w:t>
      </w:r>
    </w:p>
    <w:p w14:paraId="2D7002F7" w14:textId="77777777" w:rsidR="00AC7794" w:rsidRPr="006626FE" w:rsidRDefault="00AC7794" w:rsidP="009A4421">
      <w:pPr>
        <w:spacing w:after="0"/>
        <w:rPr>
          <w:rFonts w:eastAsia="Times New Roman" w:cs="Arial"/>
          <w:spacing w:val="0"/>
        </w:rPr>
      </w:pPr>
    </w:p>
    <w:p w14:paraId="3D2E7FE5" w14:textId="2BB945EE" w:rsidR="00AC7794" w:rsidRPr="006626FE" w:rsidRDefault="00AC7794" w:rsidP="009A4421">
      <w:pPr>
        <w:spacing w:after="0"/>
        <w:ind w:left="576"/>
        <w:rPr>
          <w:rFonts w:eastAsia="Times New Roman" w:cs="Times New Roman"/>
          <w:spacing w:val="0"/>
        </w:rPr>
      </w:pPr>
      <w:r w:rsidRPr="006626FE">
        <w:rPr>
          <w:rFonts w:eastAsia="Times New Roman" w:cs="Times New Roman"/>
          <w:spacing w:val="0"/>
        </w:rPr>
        <w:t xml:space="preserve">You may obtain a free copy of your credit report by contacting the above credit reporting company(ies) within 60 days of receiving this notice of action. </w:t>
      </w:r>
    </w:p>
    <w:p w14:paraId="2DF6FC8D" w14:textId="77777777" w:rsidR="00960C35" w:rsidRPr="006626FE" w:rsidRDefault="00960C35" w:rsidP="009A4421">
      <w:pPr>
        <w:spacing w:after="0"/>
        <w:rPr>
          <w:rFonts w:eastAsia="Times New Roman" w:cs="Times New Roman"/>
          <w:spacing w:val="0"/>
        </w:rPr>
      </w:pPr>
    </w:p>
    <w:p w14:paraId="295BA62C" w14:textId="044B3A32" w:rsidR="00960C35" w:rsidRPr="00960C35" w:rsidRDefault="00FF323F" w:rsidP="00BB263B">
      <w:pPr>
        <w:pStyle w:val="Heading2"/>
        <w:rPr>
          <w:rFonts w:ascii="CG Times" w:eastAsia="Times New Roman" w:hAnsi="CG Times" w:cs="Times New Roman"/>
          <w:spacing w:val="0"/>
          <w:sz w:val="23"/>
          <w:szCs w:val="23"/>
        </w:rPr>
      </w:pPr>
      <w:bookmarkStart w:id="146" w:name="_Toc187052994"/>
      <w:bookmarkStart w:id="147" w:name="_Toc187924175"/>
      <w:r w:rsidRPr="548D0660">
        <w:rPr>
          <w:rStyle w:val="normaltextrun"/>
          <w:shd w:val="clear" w:color="auto" w:fill="FFFFFF"/>
        </w:rPr>
        <w:lastRenderedPageBreak/>
        <w:t>5.6 – Statutory Debarment</w:t>
      </w:r>
      <w:bookmarkEnd w:id="146"/>
      <w:bookmarkEnd w:id="147"/>
    </w:p>
    <w:p w14:paraId="178C831E" w14:textId="222671D3" w:rsidR="00960C35" w:rsidRPr="00E55C3B" w:rsidRDefault="00960C35" w:rsidP="009A4421">
      <w:pPr>
        <w:spacing w:after="0"/>
        <w:rPr>
          <w:rFonts w:eastAsia="Times New Roman" w:cs="Times New Roman"/>
          <w:spacing w:val="0"/>
        </w:rPr>
      </w:pPr>
      <w:r w:rsidRPr="00E55C3B">
        <w:rPr>
          <w:rFonts w:eastAsia="Times New Roman" w:cs="Times New Roman"/>
          <w:spacing w:val="0"/>
        </w:rPr>
        <w:t xml:space="preserve">The </w:t>
      </w:r>
      <w:r w:rsidRPr="00E55C3B">
        <w:rPr>
          <w:rFonts w:eastAsia="Times New Roman" w:cs="Times New Roman"/>
          <w:i/>
          <w:spacing w:val="0"/>
        </w:rPr>
        <w:t>Notice of Proposed Action</w:t>
      </w:r>
      <w:r w:rsidRPr="00E55C3B">
        <w:rPr>
          <w:rFonts w:eastAsia="Times New Roman" w:cs="Times New Roman"/>
          <w:i/>
          <w:spacing w:val="0"/>
        </w:rPr>
        <w:fldChar w:fldCharType="begin"/>
      </w:r>
      <w:r w:rsidRPr="00E55C3B">
        <w:rPr>
          <w:rFonts w:eastAsia="Times New Roman" w:cs="Times New Roman"/>
          <w:i/>
          <w:spacing w:val="0"/>
        </w:rPr>
        <w:instrText xml:space="preserve"> XE "</w:instrText>
      </w:r>
      <w:r w:rsidRPr="00E55C3B">
        <w:rPr>
          <w:rFonts w:eastAsia="Times New Roman" w:cs="Times New Roman"/>
          <w:spacing w:val="0"/>
        </w:rPr>
        <w:instrText>Notice of Proposed Action"</w:instrText>
      </w:r>
      <w:r w:rsidRPr="00E55C3B">
        <w:rPr>
          <w:rFonts w:eastAsia="Times New Roman" w:cs="Times New Roman"/>
          <w:i/>
          <w:spacing w:val="0"/>
        </w:rPr>
        <w:instrText xml:space="preserve"> </w:instrText>
      </w:r>
      <w:r w:rsidRPr="00E55C3B">
        <w:rPr>
          <w:rFonts w:eastAsia="Times New Roman" w:cs="Times New Roman"/>
          <w:i/>
          <w:spacing w:val="0"/>
        </w:rPr>
        <w:fldChar w:fldCharType="end"/>
      </w:r>
      <w:r w:rsidRPr="00E55C3B">
        <w:rPr>
          <w:rFonts w:eastAsia="Times New Roman" w:cs="Times New Roman"/>
          <w:spacing w:val="0"/>
        </w:rPr>
        <w:t xml:space="preserve"> will specifically cite the law on which any debarment action would be based. When a proposal to take a negative suitability action is based solely on a statutory requirement to debar (see</w:t>
      </w:r>
      <w:r w:rsidR="00513DF5" w:rsidRPr="00E55C3B">
        <w:rPr>
          <w:rFonts w:eastAsia="Times New Roman" w:cs="Times New Roman"/>
          <w:spacing w:val="0"/>
        </w:rPr>
        <w:t xml:space="preserve"> </w:t>
      </w:r>
      <w:r w:rsidR="00513DF5" w:rsidRPr="00E55C3B">
        <w:t>Volume 3 of this Manual)</w:t>
      </w:r>
      <w:r w:rsidRPr="00E55C3B">
        <w:rPr>
          <w:rFonts w:eastAsia="Times New Roman" w:cs="Times New Roman"/>
          <w:spacing w:val="0"/>
        </w:rPr>
        <w:t>, the language of the law supersedes any other standards. The authority for statutory debarment is the law requiring debarment (</w:t>
      </w:r>
      <w:r w:rsidRPr="00E55C3B">
        <w:rPr>
          <w:rFonts w:eastAsia="Times New Roman" w:cs="Times New Roman"/>
          <w:b/>
          <w:spacing w:val="0"/>
        </w:rPr>
        <w:t>not</w:t>
      </w:r>
      <w:r w:rsidRPr="00E55C3B">
        <w:rPr>
          <w:rFonts w:eastAsia="Times New Roman" w:cs="Times New Roman"/>
          <w:spacing w:val="0"/>
        </w:rPr>
        <w:t xml:space="preserve"> a suitability authority listed in this </w:t>
      </w:r>
      <w:r w:rsidR="00513DF5" w:rsidRPr="00E55C3B">
        <w:rPr>
          <w:rFonts w:eastAsia="Times New Roman" w:cs="Times New Roman"/>
          <w:spacing w:val="0"/>
        </w:rPr>
        <w:t>Manual</w:t>
      </w:r>
      <w:r w:rsidRPr="00E55C3B">
        <w:rPr>
          <w:rFonts w:eastAsia="Times New Roman" w:cs="Times New Roman"/>
          <w:spacing w:val="0"/>
        </w:rPr>
        <w:t>).</w:t>
      </w:r>
    </w:p>
    <w:p w14:paraId="048EDB5C" w14:textId="77777777" w:rsidR="00960C35" w:rsidRPr="00E55C3B" w:rsidRDefault="00960C35" w:rsidP="009A4421">
      <w:pPr>
        <w:spacing w:after="0"/>
        <w:rPr>
          <w:rFonts w:eastAsia="Times New Roman" w:cs="Times New Roman"/>
          <w:spacing w:val="0"/>
        </w:rPr>
      </w:pPr>
    </w:p>
    <w:p w14:paraId="0BF55B38" w14:textId="26A70BA6" w:rsidR="00960C35" w:rsidRPr="00E55C3B" w:rsidRDefault="00960C35" w:rsidP="009A4421">
      <w:pPr>
        <w:spacing w:after="0"/>
        <w:rPr>
          <w:rFonts w:eastAsia="Times New Roman" w:cs="Times New Roman"/>
          <w:spacing w:val="0"/>
        </w:rPr>
      </w:pPr>
      <w:r w:rsidRPr="00E55C3B">
        <w:rPr>
          <w:rFonts w:eastAsia="Times New Roman" w:cs="Times New Roman"/>
          <w:spacing w:val="0"/>
        </w:rPr>
        <w:t>When proposing to take a negative suitability action based on a statutory</w:t>
      </w:r>
      <w:r w:rsidR="00513DF5" w:rsidRPr="00E55C3B">
        <w:rPr>
          <w:rFonts w:eastAsia="Times New Roman" w:cs="Times New Roman"/>
          <w:spacing w:val="0"/>
        </w:rPr>
        <w:t xml:space="preserve"> or regulatory</w:t>
      </w:r>
      <w:r w:rsidRPr="00E55C3B">
        <w:rPr>
          <w:rFonts w:eastAsia="Times New Roman" w:cs="Times New Roman"/>
          <w:spacing w:val="0"/>
        </w:rPr>
        <w:t xml:space="preserve"> requirement to debar</w:t>
      </w:r>
      <w:r w:rsidR="00513DF5" w:rsidRPr="00E55C3B">
        <w:rPr>
          <w:rFonts w:eastAsia="Times New Roman" w:cs="Times New Roman"/>
          <w:spacing w:val="0"/>
        </w:rPr>
        <w:t>, t</w:t>
      </w:r>
      <w:r w:rsidRPr="00E55C3B">
        <w:rPr>
          <w:rFonts w:eastAsia="Times New Roman" w:cs="Times New Roman"/>
          <w:spacing w:val="0"/>
        </w:rPr>
        <w:t>he letters must specify the statutory debarment requirement, authority for the requirement, and the effects of the requirement, in addition to the authorities and basis for a negative suitability determination. Normally, agencies will identify and take action on statutory debarment issues when the issues relate specifically to a position within their agency.</w:t>
      </w:r>
    </w:p>
    <w:p w14:paraId="75FE6950" w14:textId="77777777" w:rsidR="00960C35" w:rsidRPr="00960C35" w:rsidRDefault="00960C35" w:rsidP="009A4421">
      <w:pPr>
        <w:spacing w:after="0"/>
        <w:rPr>
          <w:rFonts w:ascii="Times New Roman" w:eastAsia="Times New Roman" w:hAnsi="Times New Roman" w:cs="Times New Roman"/>
          <w:spacing w:val="0"/>
          <w:sz w:val="23"/>
          <w:szCs w:val="20"/>
        </w:rPr>
      </w:pPr>
      <w:bookmarkStart w:id="148" w:name="_REQUESTS_FOR_MATERIALS"/>
      <w:bookmarkEnd w:id="148"/>
    </w:p>
    <w:p w14:paraId="3CF674EA" w14:textId="72158CFE" w:rsidR="00FF323F" w:rsidRPr="00960C35" w:rsidRDefault="00FF323F" w:rsidP="00BB263B">
      <w:pPr>
        <w:pStyle w:val="Heading2"/>
        <w:rPr>
          <w:rFonts w:ascii="Arial" w:eastAsia="Times New Roman" w:hAnsi="Arial" w:cs="Arial"/>
          <w:color w:val="000000"/>
          <w:spacing w:val="0"/>
          <w:kern w:val="28"/>
        </w:rPr>
      </w:pPr>
      <w:bookmarkStart w:id="149" w:name="_Toc187052995"/>
      <w:bookmarkStart w:id="150" w:name="_Toc187924176"/>
      <w:r w:rsidRPr="548D0660">
        <w:rPr>
          <w:rStyle w:val="normaltextrun"/>
          <w:shd w:val="clear" w:color="auto" w:fill="FFFFFF"/>
        </w:rPr>
        <w:t>5.</w:t>
      </w:r>
      <w:r w:rsidR="003C5B98" w:rsidRPr="548D0660">
        <w:rPr>
          <w:rStyle w:val="normaltextrun"/>
          <w:shd w:val="clear" w:color="auto" w:fill="FFFFFF"/>
        </w:rPr>
        <w:t>7</w:t>
      </w:r>
      <w:r w:rsidRPr="548D0660">
        <w:rPr>
          <w:rStyle w:val="normaltextrun"/>
          <w:shd w:val="clear" w:color="auto" w:fill="FFFFFF"/>
        </w:rPr>
        <w:t>– Suitability Actions</w:t>
      </w:r>
      <w:bookmarkEnd w:id="149"/>
      <w:bookmarkEnd w:id="150"/>
    </w:p>
    <w:p w14:paraId="55F005A1" w14:textId="728F4A0C" w:rsidR="00FF323F" w:rsidRPr="00E55C3B" w:rsidRDefault="00FF323F" w:rsidP="00D31FAA">
      <w:pPr>
        <w:widowControl w:val="0"/>
        <w:spacing w:after="120"/>
        <w:rPr>
          <w:rFonts w:eastAsia="Times New Roman" w:cs="Arial"/>
          <w:color w:val="000000"/>
          <w:spacing w:val="0"/>
          <w:kern w:val="28"/>
        </w:rPr>
      </w:pPr>
      <w:r w:rsidRPr="00E55C3B">
        <w:rPr>
          <w:rFonts w:eastAsia="Times New Roman" w:cs="Arial"/>
          <w:b/>
          <w:color w:val="000000"/>
          <w:spacing w:val="0"/>
          <w:kern w:val="28"/>
        </w:rPr>
        <w:t xml:space="preserve">General Provisions. </w:t>
      </w:r>
      <w:r w:rsidRPr="00E55C3B">
        <w:rPr>
          <w:rFonts w:eastAsia="Times New Roman" w:cs="Arial"/>
          <w:color w:val="000000"/>
          <w:spacing w:val="0"/>
          <w:kern w:val="28"/>
        </w:rPr>
        <w:t>Agencies can take negative suitability actions under 5 C</w:t>
      </w:r>
      <w:r w:rsidR="008A779F">
        <w:rPr>
          <w:rFonts w:eastAsia="Times New Roman" w:cs="Arial"/>
          <w:color w:val="000000"/>
          <w:spacing w:val="0"/>
          <w:kern w:val="28"/>
        </w:rPr>
        <w:t>.</w:t>
      </w:r>
      <w:r w:rsidRPr="00E55C3B">
        <w:rPr>
          <w:rFonts w:eastAsia="Times New Roman" w:cs="Arial"/>
          <w:color w:val="000000"/>
          <w:spacing w:val="0"/>
          <w:kern w:val="28"/>
        </w:rPr>
        <w:t>F</w:t>
      </w:r>
      <w:r w:rsidR="008A779F">
        <w:rPr>
          <w:rFonts w:eastAsia="Times New Roman" w:cs="Arial"/>
          <w:color w:val="000000"/>
          <w:spacing w:val="0"/>
          <w:kern w:val="28"/>
        </w:rPr>
        <w:t>.</w:t>
      </w:r>
      <w:r w:rsidRPr="00E55C3B">
        <w:rPr>
          <w:rFonts w:eastAsia="Times New Roman" w:cs="Arial"/>
          <w:color w:val="000000"/>
          <w:spacing w:val="0"/>
          <w:kern w:val="28"/>
        </w:rPr>
        <w:t>R</w:t>
      </w:r>
      <w:r w:rsidR="008A779F">
        <w:rPr>
          <w:rFonts w:eastAsia="Times New Roman" w:cs="Arial"/>
          <w:color w:val="000000"/>
          <w:spacing w:val="0"/>
          <w:kern w:val="28"/>
        </w:rPr>
        <w:t>.</w:t>
      </w:r>
      <w:r w:rsidRPr="00E55C3B">
        <w:rPr>
          <w:rFonts w:eastAsia="Times New Roman" w:cs="Arial"/>
          <w:color w:val="000000"/>
          <w:spacing w:val="0"/>
          <w:kern w:val="28"/>
        </w:rPr>
        <w:t xml:space="preserve"> </w:t>
      </w:r>
      <w:r w:rsidR="008A779F">
        <w:rPr>
          <w:rFonts w:eastAsia="Times New Roman" w:cs="Arial"/>
          <w:color w:val="000000"/>
          <w:spacing w:val="0"/>
          <w:kern w:val="28"/>
        </w:rPr>
        <w:t>part</w:t>
      </w:r>
      <w:r w:rsidR="58ECF0E6" w:rsidRPr="548D0660">
        <w:rPr>
          <w:rFonts w:eastAsia="Times New Roman" w:cs="Times New Roman"/>
          <w:color w:val="000000" w:themeColor="text1"/>
        </w:rPr>
        <w:t xml:space="preserve"> </w:t>
      </w:r>
      <w:r w:rsidRPr="00E55C3B">
        <w:rPr>
          <w:rFonts w:eastAsia="Times New Roman" w:cs="Arial"/>
          <w:color w:val="000000"/>
          <w:spacing w:val="0"/>
          <w:kern w:val="28"/>
        </w:rPr>
        <w:t>731 on applicants and appointees, unless there is evidence of material intentional false statement, or deception or fraud in examination or appointment, knowing and willful engagement in acts or activities designed to overthrow the U.S. Government by force, or other conduct that warrants a government</w:t>
      </w:r>
      <w:r w:rsidR="00BB21FA">
        <w:rPr>
          <w:rFonts w:eastAsia="Times New Roman" w:cs="Arial"/>
          <w:color w:val="000000"/>
          <w:spacing w:val="0"/>
          <w:kern w:val="28"/>
        </w:rPr>
        <w:t>-</w:t>
      </w:r>
      <w:r w:rsidRPr="00E55C3B">
        <w:rPr>
          <w:rFonts w:eastAsia="Times New Roman" w:cs="Arial"/>
          <w:color w:val="000000"/>
          <w:spacing w:val="0"/>
          <w:kern w:val="28"/>
        </w:rPr>
        <w:t xml:space="preserve">wide debarment. </w:t>
      </w:r>
    </w:p>
    <w:p w14:paraId="7414DC68" w14:textId="5E081E12" w:rsidR="00FF323F" w:rsidRPr="00E55C3B" w:rsidRDefault="00FF323F" w:rsidP="00D31FAA">
      <w:pPr>
        <w:widowControl w:val="0"/>
        <w:spacing w:after="120"/>
        <w:rPr>
          <w:rFonts w:eastAsia="Times New Roman" w:cs="Arial"/>
          <w:color w:val="FF0000"/>
          <w:spacing w:val="0"/>
          <w:kern w:val="28"/>
        </w:rPr>
      </w:pPr>
      <w:r w:rsidRPr="00E55C3B">
        <w:rPr>
          <w:rFonts w:eastAsia="Times New Roman" w:cs="Arial"/>
          <w:b/>
          <w:color w:val="000000"/>
          <w:spacing w:val="0"/>
          <w:kern w:val="28"/>
        </w:rPr>
        <w:t xml:space="preserve">Types of Disqualifying Agency Actions. </w:t>
      </w:r>
      <w:r w:rsidRPr="00E55C3B">
        <w:rPr>
          <w:rFonts w:eastAsia="Times New Roman" w:cs="Arial"/>
          <w:color w:val="000000"/>
          <w:spacing w:val="0"/>
          <w:kern w:val="28"/>
        </w:rPr>
        <w:t>Agencies may take action to cancel eligibilities, remove the individual, and impose an agency specific debarment.</w:t>
      </w:r>
    </w:p>
    <w:p w14:paraId="5BED8A7A" w14:textId="4583AC1F" w:rsidR="00FF323F" w:rsidRPr="00E55C3B" w:rsidRDefault="00FF323F" w:rsidP="00D31FAA">
      <w:pPr>
        <w:widowControl w:val="0"/>
        <w:spacing w:after="120"/>
        <w:rPr>
          <w:rFonts w:eastAsia="Times New Roman" w:cs="Arial"/>
          <w:color w:val="000000"/>
          <w:spacing w:val="0"/>
          <w:kern w:val="28"/>
        </w:rPr>
      </w:pPr>
      <w:r w:rsidRPr="00E55C3B">
        <w:rPr>
          <w:rFonts w:eastAsia="Times New Roman" w:cs="Arial"/>
          <w:b/>
          <w:color w:val="000000"/>
          <w:spacing w:val="0"/>
          <w:kern w:val="28"/>
        </w:rPr>
        <w:t xml:space="preserve">General Provisions. </w:t>
      </w:r>
      <w:r w:rsidRPr="00E55C3B">
        <w:rPr>
          <w:rFonts w:eastAsia="Times New Roman" w:cs="Arial"/>
          <w:color w:val="000000"/>
          <w:spacing w:val="0"/>
          <w:kern w:val="28"/>
        </w:rPr>
        <w:t>OPM can take negative suitability actions under 5 C</w:t>
      </w:r>
      <w:r w:rsidR="008A779F">
        <w:rPr>
          <w:rFonts w:eastAsia="Times New Roman" w:cs="Arial"/>
          <w:color w:val="000000"/>
          <w:spacing w:val="0"/>
          <w:kern w:val="28"/>
        </w:rPr>
        <w:t>.</w:t>
      </w:r>
      <w:r w:rsidRPr="00E55C3B">
        <w:rPr>
          <w:rFonts w:eastAsia="Times New Roman" w:cs="Arial"/>
          <w:color w:val="000000"/>
          <w:spacing w:val="0"/>
          <w:kern w:val="28"/>
        </w:rPr>
        <w:t>F</w:t>
      </w:r>
      <w:r w:rsidR="008A779F">
        <w:rPr>
          <w:rFonts w:eastAsia="Times New Roman" w:cs="Arial"/>
          <w:color w:val="000000"/>
          <w:spacing w:val="0"/>
          <w:kern w:val="28"/>
        </w:rPr>
        <w:t>.</w:t>
      </w:r>
      <w:r w:rsidRPr="00E55C3B">
        <w:rPr>
          <w:rFonts w:eastAsia="Times New Roman" w:cs="Arial"/>
          <w:color w:val="000000"/>
          <w:spacing w:val="0"/>
          <w:kern w:val="28"/>
        </w:rPr>
        <w:t>R</w:t>
      </w:r>
      <w:r w:rsidR="008A779F">
        <w:rPr>
          <w:rFonts w:eastAsia="Times New Roman" w:cs="Arial"/>
          <w:color w:val="000000"/>
          <w:spacing w:val="0"/>
          <w:kern w:val="28"/>
        </w:rPr>
        <w:t>.</w:t>
      </w:r>
      <w:r w:rsidRPr="00E55C3B">
        <w:rPr>
          <w:rFonts w:eastAsia="Times New Roman" w:cs="Arial"/>
          <w:color w:val="000000"/>
          <w:spacing w:val="0"/>
          <w:kern w:val="28"/>
        </w:rPr>
        <w:t xml:space="preserve"> </w:t>
      </w:r>
      <w:r w:rsidR="008A779F">
        <w:rPr>
          <w:rFonts w:eastAsia="Times New Roman" w:cs="Arial"/>
          <w:color w:val="000000"/>
          <w:spacing w:val="0"/>
          <w:kern w:val="28"/>
        </w:rPr>
        <w:t xml:space="preserve">part </w:t>
      </w:r>
      <w:r w:rsidR="08F3E62C" w:rsidRPr="548D0660">
        <w:rPr>
          <w:rFonts w:eastAsia="Times New Roman" w:cs="Times New Roman"/>
          <w:color w:val="000000" w:themeColor="text1"/>
        </w:rPr>
        <w:t xml:space="preserve">§ </w:t>
      </w:r>
      <w:r w:rsidRPr="00E55C3B">
        <w:rPr>
          <w:rFonts w:eastAsia="Times New Roman" w:cs="Arial"/>
          <w:color w:val="000000"/>
          <w:spacing w:val="0"/>
          <w:kern w:val="28"/>
        </w:rPr>
        <w:t xml:space="preserve">731 on applicants, and employees considering any of the suitability factors. OPM can take action against employees using the material intentional false statement, or deception or fraud in examination or appointment; knowing and willful engagement in acts or activities designed to overthrow the U.S. Government by force, and statutory or regulatory bar factors. </w:t>
      </w:r>
    </w:p>
    <w:p w14:paraId="4933694B" w14:textId="28AB3FFD" w:rsidR="00FF323F" w:rsidRPr="00E55C3B" w:rsidRDefault="00FF323F" w:rsidP="00D31FAA">
      <w:pPr>
        <w:widowControl w:val="0"/>
        <w:spacing w:after="120"/>
        <w:rPr>
          <w:rFonts w:eastAsia="Times New Roman" w:cs="Arial"/>
          <w:color w:val="FF0000"/>
          <w:spacing w:val="0"/>
          <w:kern w:val="28"/>
        </w:rPr>
      </w:pPr>
      <w:r w:rsidRPr="00E55C3B">
        <w:rPr>
          <w:rFonts w:eastAsia="Times New Roman" w:cs="Arial"/>
          <w:b/>
          <w:color w:val="000000"/>
          <w:spacing w:val="0"/>
          <w:kern w:val="28"/>
        </w:rPr>
        <w:t xml:space="preserve">Types of Disqualifying OPM Actions. </w:t>
      </w:r>
      <w:r w:rsidRPr="00E55C3B">
        <w:rPr>
          <w:rFonts w:eastAsia="Times New Roman" w:cs="Arial"/>
          <w:color w:val="000000"/>
          <w:spacing w:val="0"/>
          <w:kern w:val="28"/>
        </w:rPr>
        <w:t>OPM may take action to cancel eligibilities, cancel reinstatement eligibilities, direct removal of the individual, and impose a government</w:t>
      </w:r>
      <w:r w:rsidR="00BB21FA">
        <w:rPr>
          <w:rFonts w:eastAsia="Times New Roman" w:cs="Arial"/>
          <w:color w:val="000000"/>
          <w:spacing w:val="0"/>
          <w:kern w:val="28"/>
        </w:rPr>
        <w:t>-</w:t>
      </w:r>
      <w:r w:rsidRPr="00E55C3B">
        <w:rPr>
          <w:rFonts w:eastAsia="Times New Roman" w:cs="Arial"/>
          <w:color w:val="000000"/>
          <w:spacing w:val="0"/>
          <w:kern w:val="28"/>
        </w:rPr>
        <w:t>wide debarment.</w:t>
      </w:r>
    </w:p>
    <w:p w14:paraId="7937AE46" w14:textId="77777777" w:rsidR="00960C35" w:rsidRPr="00E55C3B" w:rsidRDefault="00960C35" w:rsidP="009A4421">
      <w:pPr>
        <w:widowControl w:val="0"/>
        <w:spacing w:after="0"/>
        <w:rPr>
          <w:rFonts w:eastAsia="Times New Roman" w:cs="Times New Roman"/>
          <w:snapToGrid w:val="0"/>
          <w:spacing w:val="0"/>
          <w:sz w:val="24"/>
          <w:szCs w:val="20"/>
        </w:rPr>
      </w:pPr>
    </w:p>
    <w:p w14:paraId="44F5DDB8" w14:textId="7E89E704" w:rsidR="00960C35" w:rsidRPr="00960C35" w:rsidRDefault="00A26CB4" w:rsidP="00B81EA1">
      <w:pPr>
        <w:pStyle w:val="Heading5"/>
      </w:pPr>
      <w:r>
        <w:t>Table 1</w:t>
      </w:r>
      <w:r w:rsidR="00635D9B">
        <w:t xml:space="preserve"> V</w:t>
      </w:r>
      <w:r>
        <w:t>5</w:t>
      </w:r>
    </w:p>
    <w:tbl>
      <w:tblPr>
        <w:tblW w:w="0" w:type="auto"/>
        <w:jc w:val="center"/>
        <w:tblBorders>
          <w:top w:val="single" w:sz="12" w:space="0" w:color="000000"/>
          <w:left w:val="single" w:sz="12" w:space="0" w:color="000000"/>
          <w:bottom w:val="single" w:sz="12" w:space="0" w:color="000000"/>
          <w:right w:val="single" w:sz="12" w:space="0" w:color="000000"/>
        </w:tblBorders>
        <w:tblLayout w:type="fixed"/>
        <w:tblCellMar>
          <w:left w:w="55" w:type="dxa"/>
          <w:right w:w="55" w:type="dxa"/>
        </w:tblCellMar>
        <w:tblLook w:val="0000" w:firstRow="0" w:lastRow="0" w:firstColumn="0" w:lastColumn="0" w:noHBand="0" w:noVBand="0"/>
      </w:tblPr>
      <w:tblGrid>
        <w:gridCol w:w="1515"/>
        <w:gridCol w:w="1980"/>
        <w:gridCol w:w="5684"/>
      </w:tblGrid>
      <w:tr w:rsidR="008C18BE" w:rsidRPr="00960C35" w14:paraId="795EFE65" w14:textId="77777777" w:rsidTr="004126EC">
        <w:trPr>
          <w:trHeight w:val="440"/>
          <w:tblHeader/>
          <w:jc w:val="center"/>
        </w:trPr>
        <w:tc>
          <w:tcPr>
            <w:tcW w:w="1515" w:type="dxa"/>
            <w:tcBorders>
              <w:top w:val="single" w:sz="12" w:space="0" w:color="000000"/>
              <w:bottom w:val="single" w:sz="6" w:space="0" w:color="000000"/>
              <w:right w:val="single" w:sz="4" w:space="0" w:color="000000"/>
            </w:tcBorders>
            <w:shd w:val="pct25" w:color="auto" w:fill="FFFFFF"/>
            <w:vAlign w:val="center"/>
          </w:tcPr>
          <w:p w14:paraId="2747B516" w14:textId="77777777" w:rsidR="00960C35" w:rsidRPr="009954E9" w:rsidRDefault="00960C35" w:rsidP="00960C35">
            <w:pPr>
              <w:spacing w:after="0" w:line="240" w:lineRule="auto"/>
              <w:jc w:val="center"/>
              <w:rPr>
                <w:rFonts w:eastAsia="Times New Roman" w:cs="Times New Roman"/>
                <w:b/>
                <w:spacing w:val="0"/>
              </w:rPr>
            </w:pPr>
            <w:r w:rsidRPr="009954E9">
              <w:rPr>
                <w:rFonts w:eastAsia="Times New Roman" w:cs="Times New Roman"/>
                <w:b/>
                <w:spacing w:val="0"/>
              </w:rPr>
              <w:t>STATUS</w:t>
            </w:r>
          </w:p>
        </w:tc>
        <w:tc>
          <w:tcPr>
            <w:tcW w:w="1980" w:type="dxa"/>
            <w:tcBorders>
              <w:top w:val="single" w:sz="12" w:space="0" w:color="000000"/>
              <w:left w:val="single" w:sz="4" w:space="0" w:color="000000"/>
              <w:bottom w:val="single" w:sz="6" w:space="0" w:color="000000"/>
              <w:right w:val="single" w:sz="4" w:space="0" w:color="000000"/>
            </w:tcBorders>
            <w:shd w:val="pct25" w:color="auto" w:fill="FFFFFF"/>
            <w:vAlign w:val="center"/>
          </w:tcPr>
          <w:p w14:paraId="04FACD49" w14:textId="77777777" w:rsidR="00960C35" w:rsidRPr="009954E9" w:rsidRDefault="00960C35" w:rsidP="00960C35">
            <w:pPr>
              <w:spacing w:after="0" w:line="240" w:lineRule="auto"/>
              <w:jc w:val="center"/>
              <w:rPr>
                <w:rFonts w:eastAsia="Times New Roman" w:cs="Times New Roman"/>
                <w:b/>
                <w:spacing w:val="0"/>
              </w:rPr>
            </w:pPr>
            <w:r w:rsidRPr="009954E9">
              <w:rPr>
                <w:rFonts w:eastAsia="Times New Roman" w:cs="Times New Roman"/>
                <w:b/>
                <w:spacing w:val="0"/>
              </w:rPr>
              <w:t>ACTION</w:t>
            </w:r>
          </w:p>
        </w:tc>
        <w:tc>
          <w:tcPr>
            <w:tcW w:w="5684" w:type="dxa"/>
            <w:tcBorders>
              <w:top w:val="single" w:sz="12" w:space="0" w:color="000000"/>
              <w:left w:val="single" w:sz="4" w:space="0" w:color="000000"/>
              <w:bottom w:val="single" w:sz="6" w:space="0" w:color="000000"/>
            </w:tcBorders>
            <w:shd w:val="pct25" w:color="auto" w:fill="FFFFFF"/>
            <w:vAlign w:val="center"/>
          </w:tcPr>
          <w:p w14:paraId="24A21727" w14:textId="77777777" w:rsidR="00960C35" w:rsidRPr="009954E9" w:rsidRDefault="00960C35" w:rsidP="00960C35">
            <w:pPr>
              <w:spacing w:after="0" w:line="240" w:lineRule="auto"/>
              <w:jc w:val="center"/>
              <w:rPr>
                <w:rFonts w:eastAsia="Times New Roman" w:cs="Times New Roman"/>
                <w:b/>
                <w:spacing w:val="0"/>
              </w:rPr>
            </w:pPr>
            <w:r w:rsidRPr="009954E9">
              <w:rPr>
                <w:rFonts w:eastAsia="Times New Roman" w:cs="Times New Roman"/>
                <w:b/>
                <w:spacing w:val="0"/>
              </w:rPr>
              <w:t>EFFECT</w:t>
            </w:r>
          </w:p>
        </w:tc>
      </w:tr>
      <w:tr w:rsidR="00C62332" w:rsidRPr="00960C35" w14:paraId="608966B0" w14:textId="77777777" w:rsidTr="006401B4">
        <w:trPr>
          <w:cantSplit/>
          <w:trHeight w:val="480"/>
          <w:jc w:val="center"/>
        </w:trPr>
        <w:tc>
          <w:tcPr>
            <w:tcW w:w="1515" w:type="dxa"/>
            <w:vMerge w:val="restart"/>
            <w:tcBorders>
              <w:top w:val="single" w:sz="6" w:space="0" w:color="000000"/>
              <w:bottom w:val="single" w:sz="4" w:space="0" w:color="000000"/>
              <w:right w:val="single" w:sz="6" w:space="0" w:color="000000"/>
            </w:tcBorders>
            <w:vAlign w:val="center"/>
          </w:tcPr>
          <w:p w14:paraId="4C52509E" w14:textId="77777777" w:rsidR="00960C35" w:rsidRPr="009954E9" w:rsidRDefault="00960C35" w:rsidP="00960C35">
            <w:pPr>
              <w:spacing w:after="0" w:line="240" w:lineRule="auto"/>
              <w:jc w:val="center"/>
              <w:rPr>
                <w:rFonts w:eastAsia="Times New Roman" w:cs="Times New Roman"/>
                <w:b/>
                <w:spacing w:val="0"/>
              </w:rPr>
            </w:pPr>
            <w:r w:rsidRPr="009954E9">
              <w:rPr>
                <w:rFonts w:eastAsia="Times New Roman" w:cs="Times New Roman"/>
                <w:b/>
                <w:spacing w:val="0"/>
              </w:rPr>
              <w:t>APPLICANT</w:t>
            </w:r>
          </w:p>
          <w:p w14:paraId="44B9D4F8" w14:textId="71769D0B" w:rsidR="00960C35" w:rsidRPr="009954E9" w:rsidRDefault="00960C35" w:rsidP="00960C35">
            <w:pPr>
              <w:spacing w:after="0" w:line="240" w:lineRule="auto"/>
              <w:jc w:val="center"/>
              <w:rPr>
                <w:rFonts w:eastAsia="Times New Roman" w:cs="Times New Roman"/>
                <w:b/>
                <w:spacing w:val="0"/>
              </w:rPr>
            </w:pPr>
          </w:p>
        </w:tc>
        <w:tc>
          <w:tcPr>
            <w:tcW w:w="1980" w:type="dxa"/>
            <w:tcBorders>
              <w:top w:val="single" w:sz="6" w:space="0" w:color="000000"/>
              <w:left w:val="nil"/>
              <w:bottom w:val="single" w:sz="6" w:space="0" w:color="000000"/>
              <w:right w:val="single" w:sz="4" w:space="0" w:color="000000"/>
            </w:tcBorders>
            <w:vAlign w:val="center"/>
          </w:tcPr>
          <w:p w14:paraId="282C1845" w14:textId="77777777" w:rsidR="00960C35" w:rsidRPr="009954E9" w:rsidRDefault="00960C35" w:rsidP="00960C35">
            <w:pPr>
              <w:spacing w:after="0" w:line="240" w:lineRule="auto"/>
              <w:jc w:val="center"/>
              <w:rPr>
                <w:rFonts w:eastAsia="Times New Roman" w:cs="Times New Roman"/>
                <w:b/>
                <w:spacing w:val="0"/>
              </w:rPr>
            </w:pPr>
            <w:r w:rsidRPr="009954E9">
              <w:rPr>
                <w:rFonts w:eastAsia="Times New Roman" w:cs="Times New Roman"/>
                <w:b/>
                <w:spacing w:val="0"/>
              </w:rPr>
              <w:t>INELIGIBLE</w:t>
            </w:r>
          </w:p>
        </w:tc>
        <w:tc>
          <w:tcPr>
            <w:tcW w:w="5684" w:type="dxa"/>
            <w:tcBorders>
              <w:top w:val="single" w:sz="6" w:space="0" w:color="000000"/>
              <w:left w:val="single" w:sz="4" w:space="0" w:color="000000"/>
              <w:bottom w:val="single" w:sz="6" w:space="0" w:color="000000"/>
            </w:tcBorders>
          </w:tcPr>
          <w:p w14:paraId="3EABD14E" w14:textId="77777777" w:rsidR="00960C35" w:rsidRPr="009954E9" w:rsidRDefault="00960C35" w:rsidP="00960C35">
            <w:pPr>
              <w:spacing w:after="0" w:line="240" w:lineRule="auto"/>
              <w:rPr>
                <w:rFonts w:eastAsia="Times New Roman" w:cs="Times New Roman"/>
                <w:spacing w:val="0"/>
              </w:rPr>
            </w:pPr>
            <w:r w:rsidRPr="009954E9">
              <w:rPr>
                <w:rFonts w:eastAsia="Times New Roman" w:cs="Times New Roman"/>
                <w:spacing w:val="0"/>
              </w:rPr>
              <w:t>Not eligible for (</w:t>
            </w:r>
            <w:r w:rsidRPr="009954E9">
              <w:rPr>
                <w:rFonts w:eastAsia="Times New Roman" w:cs="Times New Roman"/>
                <w:b/>
                <w:spacing w:val="0"/>
              </w:rPr>
              <w:t>1</w:t>
            </w:r>
            <w:r w:rsidRPr="009954E9">
              <w:rPr>
                <w:rFonts w:eastAsia="Times New Roman" w:cs="Times New Roman"/>
                <w:spacing w:val="0"/>
              </w:rPr>
              <w:t>) placement or retention on the specific register, and not eligible for (</w:t>
            </w:r>
            <w:r w:rsidRPr="009954E9">
              <w:rPr>
                <w:rFonts w:eastAsia="Times New Roman" w:cs="Times New Roman"/>
                <w:b/>
                <w:spacing w:val="0"/>
              </w:rPr>
              <w:t>2</w:t>
            </w:r>
            <w:r w:rsidRPr="009954E9">
              <w:rPr>
                <w:rFonts w:eastAsia="Times New Roman" w:cs="Times New Roman"/>
                <w:spacing w:val="0"/>
              </w:rPr>
              <w:t>) employment in the position applied for.</w:t>
            </w:r>
          </w:p>
        </w:tc>
      </w:tr>
      <w:tr w:rsidR="008C18BE" w:rsidRPr="00960C35" w14:paraId="24CB8523" w14:textId="77777777" w:rsidTr="006401B4">
        <w:trPr>
          <w:cantSplit/>
          <w:trHeight w:val="1280"/>
          <w:jc w:val="center"/>
        </w:trPr>
        <w:tc>
          <w:tcPr>
            <w:tcW w:w="1515" w:type="dxa"/>
            <w:vMerge/>
            <w:tcBorders>
              <w:top w:val="single" w:sz="12" w:space="0" w:color="000000"/>
              <w:bottom w:val="single" w:sz="4" w:space="0" w:color="000000"/>
              <w:right w:val="single" w:sz="6" w:space="0" w:color="000000"/>
            </w:tcBorders>
          </w:tcPr>
          <w:p w14:paraId="12356779" w14:textId="77777777" w:rsidR="00960C35" w:rsidRPr="009954E9" w:rsidRDefault="00960C35" w:rsidP="00960C35">
            <w:pPr>
              <w:spacing w:after="0" w:line="240" w:lineRule="auto"/>
              <w:rPr>
                <w:rFonts w:eastAsia="Times New Roman" w:cs="Times New Roman"/>
                <w:b/>
                <w:spacing w:val="0"/>
              </w:rPr>
            </w:pPr>
          </w:p>
        </w:tc>
        <w:tc>
          <w:tcPr>
            <w:tcW w:w="1980" w:type="dxa"/>
            <w:tcBorders>
              <w:top w:val="single" w:sz="6" w:space="0" w:color="000000"/>
              <w:left w:val="nil"/>
              <w:bottom w:val="single" w:sz="6" w:space="0" w:color="000000"/>
              <w:right w:val="single" w:sz="4" w:space="0" w:color="000000"/>
            </w:tcBorders>
            <w:vAlign w:val="center"/>
          </w:tcPr>
          <w:p w14:paraId="25CF5843" w14:textId="77777777" w:rsidR="00960C35" w:rsidRPr="009954E9" w:rsidRDefault="00960C35" w:rsidP="00960C35">
            <w:pPr>
              <w:spacing w:after="0" w:line="240" w:lineRule="auto"/>
              <w:jc w:val="center"/>
              <w:rPr>
                <w:rFonts w:eastAsia="Times New Roman" w:cs="Times New Roman"/>
                <w:b/>
                <w:spacing w:val="0"/>
              </w:rPr>
            </w:pPr>
            <w:r w:rsidRPr="009954E9">
              <w:rPr>
                <w:rFonts w:eastAsia="Times New Roman" w:cs="Times New Roman"/>
                <w:b/>
                <w:spacing w:val="0"/>
              </w:rPr>
              <w:t>INELIGIBLE</w:t>
            </w:r>
          </w:p>
          <w:p w14:paraId="1E79CADF" w14:textId="77777777" w:rsidR="00960C35" w:rsidRPr="009954E9" w:rsidRDefault="00960C35" w:rsidP="00960C35">
            <w:pPr>
              <w:spacing w:after="0" w:line="240" w:lineRule="auto"/>
              <w:jc w:val="center"/>
              <w:rPr>
                <w:rFonts w:eastAsia="Times New Roman" w:cs="Times New Roman"/>
                <w:b/>
                <w:spacing w:val="0"/>
              </w:rPr>
            </w:pPr>
            <w:r w:rsidRPr="009954E9">
              <w:rPr>
                <w:rFonts w:eastAsia="Times New Roman" w:cs="Times New Roman"/>
                <w:b/>
                <w:spacing w:val="0"/>
              </w:rPr>
              <w:t>&amp;</w:t>
            </w:r>
          </w:p>
          <w:p w14:paraId="4168A042" w14:textId="77777777" w:rsidR="00960C35" w:rsidRPr="009954E9" w:rsidRDefault="00960C35" w:rsidP="00960C35">
            <w:pPr>
              <w:spacing w:after="0" w:line="240" w:lineRule="auto"/>
              <w:jc w:val="center"/>
              <w:rPr>
                <w:rFonts w:eastAsia="Times New Roman" w:cs="Times New Roman"/>
                <w:b/>
                <w:spacing w:val="0"/>
              </w:rPr>
            </w:pPr>
            <w:r w:rsidRPr="009954E9">
              <w:rPr>
                <w:rFonts w:eastAsia="Times New Roman" w:cs="Times New Roman"/>
                <w:b/>
                <w:spacing w:val="0"/>
              </w:rPr>
              <w:t>DEBARMENT</w:t>
            </w:r>
          </w:p>
        </w:tc>
        <w:tc>
          <w:tcPr>
            <w:tcW w:w="5684" w:type="dxa"/>
            <w:tcBorders>
              <w:top w:val="single" w:sz="6" w:space="0" w:color="000000"/>
              <w:left w:val="single" w:sz="4" w:space="0" w:color="000000"/>
              <w:bottom w:val="single" w:sz="6" w:space="0" w:color="000000"/>
            </w:tcBorders>
          </w:tcPr>
          <w:p w14:paraId="65D8D63F" w14:textId="77777777" w:rsidR="00960C35" w:rsidRPr="009954E9" w:rsidRDefault="00960C35" w:rsidP="00960C35">
            <w:pPr>
              <w:spacing w:after="0" w:line="240" w:lineRule="auto"/>
              <w:rPr>
                <w:rFonts w:eastAsia="Times New Roman" w:cs="Times New Roman"/>
                <w:spacing w:val="0"/>
                <w:u w:val="single"/>
              </w:rPr>
            </w:pPr>
            <w:r w:rsidRPr="009954E9">
              <w:rPr>
                <w:rFonts w:eastAsia="Times New Roman" w:cs="Times New Roman"/>
                <w:spacing w:val="0"/>
              </w:rPr>
              <w:t xml:space="preserve">SAME EFFECT AS ABOVE, </w:t>
            </w:r>
            <w:r w:rsidRPr="009954E9">
              <w:rPr>
                <w:rFonts w:eastAsia="Times New Roman" w:cs="Times New Roman"/>
                <w:b/>
                <w:i/>
                <w:spacing w:val="0"/>
              </w:rPr>
              <w:t>plus</w:t>
            </w:r>
            <w:r w:rsidRPr="009954E9">
              <w:rPr>
                <w:rFonts w:eastAsia="Times New Roman" w:cs="Times New Roman"/>
                <w:spacing w:val="0"/>
              </w:rPr>
              <w:t>:</w:t>
            </w:r>
          </w:p>
          <w:p w14:paraId="4AA019A9" w14:textId="77777777" w:rsidR="00960C35" w:rsidRPr="009954E9" w:rsidRDefault="00960C35" w:rsidP="00960C35">
            <w:pPr>
              <w:spacing w:after="0" w:line="240" w:lineRule="auto"/>
              <w:rPr>
                <w:rFonts w:eastAsia="Times New Roman" w:cs="Times New Roman"/>
                <w:spacing w:val="0"/>
              </w:rPr>
            </w:pPr>
            <w:r w:rsidRPr="009954E9">
              <w:rPr>
                <w:rFonts w:eastAsia="Times New Roman" w:cs="Times New Roman"/>
                <w:spacing w:val="0"/>
              </w:rPr>
              <w:t>OPM Debarment</w:t>
            </w:r>
          </w:p>
          <w:p w14:paraId="7B053C03" w14:textId="2B073F12" w:rsidR="00960C35" w:rsidRPr="009954E9" w:rsidRDefault="00960C35" w:rsidP="00D52322">
            <w:pPr>
              <w:pStyle w:val="ListParagraph"/>
              <w:numPr>
                <w:ilvl w:val="0"/>
                <w:numId w:val="77"/>
              </w:numPr>
              <w:spacing w:after="0" w:line="240" w:lineRule="auto"/>
              <w:ind w:left="217" w:hanging="180"/>
              <w:rPr>
                <w:rFonts w:eastAsia="Times New Roman" w:cs="Times New Roman"/>
                <w:spacing w:val="0"/>
              </w:rPr>
            </w:pPr>
            <w:r w:rsidRPr="009954E9">
              <w:rPr>
                <w:rFonts w:eastAsia="Times New Roman" w:cs="Times New Roman"/>
                <w:spacing w:val="0"/>
              </w:rPr>
              <w:t>All pending applications rated ineligible and any existing eligibilities on standing inventories are canceled.</w:t>
            </w:r>
          </w:p>
          <w:p w14:paraId="12DC3435" w14:textId="51465772" w:rsidR="00960C35" w:rsidRPr="009954E9" w:rsidRDefault="00960C35" w:rsidP="00D52322">
            <w:pPr>
              <w:pStyle w:val="ListParagraph"/>
              <w:numPr>
                <w:ilvl w:val="0"/>
                <w:numId w:val="77"/>
              </w:numPr>
              <w:spacing w:after="0" w:line="240" w:lineRule="auto"/>
              <w:ind w:left="217" w:hanging="180"/>
              <w:rPr>
                <w:rFonts w:eastAsia="Times New Roman" w:cs="Times New Roman"/>
                <w:spacing w:val="0"/>
              </w:rPr>
            </w:pPr>
            <w:r w:rsidRPr="009954E9">
              <w:rPr>
                <w:rFonts w:eastAsia="Times New Roman" w:cs="Times New Roman"/>
                <w:spacing w:val="0"/>
              </w:rPr>
              <w:t>Ineligible to compete for examinations and for appointments to all covered positions for a specific period of up to three years.</w:t>
            </w:r>
          </w:p>
        </w:tc>
      </w:tr>
      <w:tr w:rsidR="008C18BE" w:rsidRPr="00960C35" w14:paraId="1C0E4B19" w14:textId="77777777" w:rsidTr="006401B4">
        <w:trPr>
          <w:cantSplit/>
          <w:trHeight w:val="480"/>
          <w:jc w:val="center"/>
        </w:trPr>
        <w:tc>
          <w:tcPr>
            <w:tcW w:w="1515" w:type="dxa"/>
            <w:vMerge w:val="restart"/>
            <w:tcBorders>
              <w:top w:val="single" w:sz="4" w:space="0" w:color="000000"/>
              <w:bottom w:val="single" w:sz="12" w:space="0" w:color="000000"/>
              <w:right w:val="single" w:sz="6" w:space="0" w:color="000000"/>
            </w:tcBorders>
            <w:vAlign w:val="center"/>
          </w:tcPr>
          <w:p w14:paraId="2EBF45D1" w14:textId="77777777" w:rsidR="00960C35" w:rsidRPr="009954E9" w:rsidRDefault="00960C35" w:rsidP="00960C35">
            <w:pPr>
              <w:spacing w:after="0" w:line="240" w:lineRule="auto"/>
              <w:jc w:val="center"/>
              <w:rPr>
                <w:rFonts w:eastAsia="Times New Roman" w:cs="Times New Roman"/>
                <w:b/>
                <w:spacing w:val="0"/>
              </w:rPr>
            </w:pPr>
            <w:r w:rsidRPr="009954E9">
              <w:rPr>
                <w:rFonts w:eastAsia="Times New Roman" w:cs="Times New Roman"/>
                <w:b/>
                <w:spacing w:val="0"/>
              </w:rPr>
              <w:t>APPOINTEE</w:t>
            </w:r>
          </w:p>
          <w:p w14:paraId="7AE61BF1" w14:textId="77777777" w:rsidR="00960C35" w:rsidRPr="009954E9" w:rsidRDefault="00960C35" w:rsidP="00960C35">
            <w:pPr>
              <w:spacing w:after="0" w:line="240" w:lineRule="auto"/>
              <w:jc w:val="center"/>
              <w:rPr>
                <w:rFonts w:eastAsia="Times New Roman" w:cs="Times New Roman"/>
                <w:b/>
                <w:spacing w:val="0"/>
              </w:rPr>
            </w:pPr>
            <w:r w:rsidRPr="009954E9">
              <w:rPr>
                <w:rFonts w:eastAsia="Times New Roman" w:cs="Times New Roman"/>
                <w:b/>
                <w:spacing w:val="0"/>
              </w:rPr>
              <w:t>Or</w:t>
            </w:r>
          </w:p>
          <w:p w14:paraId="68CAF584" w14:textId="77777777" w:rsidR="00960C35" w:rsidRPr="009954E9" w:rsidRDefault="00960C35" w:rsidP="00960C35">
            <w:pPr>
              <w:spacing w:after="0" w:line="240" w:lineRule="auto"/>
              <w:jc w:val="center"/>
              <w:rPr>
                <w:rFonts w:eastAsia="Times New Roman" w:cs="Times New Roman"/>
                <w:b/>
                <w:spacing w:val="0"/>
              </w:rPr>
            </w:pPr>
            <w:r w:rsidRPr="009954E9">
              <w:rPr>
                <w:rFonts w:eastAsia="Times New Roman" w:cs="Times New Roman"/>
                <w:b/>
                <w:spacing w:val="0"/>
              </w:rPr>
              <w:t>EMPLOYEE</w:t>
            </w:r>
          </w:p>
        </w:tc>
        <w:tc>
          <w:tcPr>
            <w:tcW w:w="1980" w:type="dxa"/>
            <w:tcBorders>
              <w:top w:val="single" w:sz="6" w:space="0" w:color="000000"/>
              <w:left w:val="nil"/>
              <w:bottom w:val="single" w:sz="6" w:space="0" w:color="000000"/>
              <w:right w:val="single" w:sz="4" w:space="0" w:color="000000"/>
            </w:tcBorders>
            <w:vAlign w:val="center"/>
          </w:tcPr>
          <w:p w14:paraId="4D39CAA7" w14:textId="77777777" w:rsidR="00960C35" w:rsidRPr="009954E9" w:rsidRDefault="00960C35" w:rsidP="00960C35">
            <w:pPr>
              <w:spacing w:after="0" w:line="240" w:lineRule="auto"/>
              <w:jc w:val="center"/>
              <w:rPr>
                <w:rFonts w:eastAsia="Times New Roman" w:cs="Times New Roman"/>
                <w:b/>
                <w:spacing w:val="0"/>
              </w:rPr>
            </w:pPr>
            <w:r w:rsidRPr="009954E9">
              <w:rPr>
                <w:rFonts w:eastAsia="Times New Roman" w:cs="Times New Roman"/>
                <w:b/>
                <w:spacing w:val="0"/>
              </w:rPr>
              <w:t>REMOVAL</w:t>
            </w:r>
          </w:p>
        </w:tc>
        <w:tc>
          <w:tcPr>
            <w:tcW w:w="5684" w:type="dxa"/>
            <w:tcBorders>
              <w:top w:val="single" w:sz="6" w:space="0" w:color="000000"/>
              <w:left w:val="single" w:sz="4" w:space="0" w:color="000000"/>
              <w:bottom w:val="single" w:sz="6" w:space="0" w:color="000000"/>
            </w:tcBorders>
          </w:tcPr>
          <w:p w14:paraId="3D20529E" w14:textId="77777777" w:rsidR="00960C35" w:rsidRPr="009954E9" w:rsidRDefault="00960C35" w:rsidP="00960C35">
            <w:pPr>
              <w:spacing w:after="0" w:line="240" w:lineRule="auto"/>
              <w:rPr>
                <w:rFonts w:eastAsia="Times New Roman" w:cs="Times New Roman"/>
                <w:spacing w:val="0"/>
              </w:rPr>
            </w:pPr>
            <w:r w:rsidRPr="009954E9">
              <w:rPr>
                <w:rFonts w:eastAsia="Times New Roman" w:cs="Times New Roman"/>
                <w:spacing w:val="0"/>
              </w:rPr>
              <w:t>Agency is directed to remove the individual from the position appointed to or employed in.</w:t>
            </w:r>
          </w:p>
        </w:tc>
      </w:tr>
      <w:tr w:rsidR="009E2C4B" w:rsidRPr="00960C35" w14:paraId="72924ABD" w14:textId="77777777" w:rsidTr="001854BC">
        <w:trPr>
          <w:cantSplit/>
          <w:trHeight w:val="720"/>
          <w:jc w:val="center"/>
        </w:trPr>
        <w:tc>
          <w:tcPr>
            <w:tcW w:w="1515" w:type="dxa"/>
            <w:vMerge/>
            <w:tcBorders>
              <w:top w:val="nil"/>
              <w:bottom w:val="single" w:sz="12" w:space="0" w:color="000000"/>
              <w:right w:val="single" w:sz="6" w:space="0" w:color="000000"/>
            </w:tcBorders>
          </w:tcPr>
          <w:p w14:paraId="6B63AD6F" w14:textId="77777777" w:rsidR="00960C35" w:rsidRPr="009954E9" w:rsidRDefault="00960C35" w:rsidP="002E50A6">
            <w:pPr>
              <w:spacing w:after="0" w:line="240" w:lineRule="auto"/>
              <w:rPr>
                <w:rFonts w:eastAsia="Times New Roman" w:cs="Times New Roman"/>
                <w:spacing w:val="0"/>
              </w:rPr>
            </w:pPr>
          </w:p>
        </w:tc>
        <w:tc>
          <w:tcPr>
            <w:tcW w:w="1980" w:type="dxa"/>
            <w:tcBorders>
              <w:top w:val="nil"/>
              <w:left w:val="nil"/>
              <w:bottom w:val="nil"/>
              <w:right w:val="single" w:sz="4" w:space="0" w:color="000000"/>
            </w:tcBorders>
            <w:vAlign w:val="center"/>
          </w:tcPr>
          <w:p w14:paraId="6A0173BB" w14:textId="77777777" w:rsidR="00960C35" w:rsidRPr="009954E9" w:rsidRDefault="00960C35" w:rsidP="00960C35">
            <w:pPr>
              <w:spacing w:after="0" w:line="240" w:lineRule="auto"/>
              <w:jc w:val="center"/>
              <w:rPr>
                <w:rFonts w:eastAsia="Times New Roman" w:cs="Times New Roman"/>
                <w:b/>
                <w:spacing w:val="0"/>
              </w:rPr>
            </w:pPr>
            <w:r w:rsidRPr="009954E9">
              <w:rPr>
                <w:rFonts w:eastAsia="Times New Roman" w:cs="Times New Roman"/>
                <w:b/>
                <w:spacing w:val="0"/>
              </w:rPr>
              <w:t>REMOVAL</w:t>
            </w:r>
          </w:p>
          <w:p w14:paraId="54C1C93D" w14:textId="77777777" w:rsidR="00960C35" w:rsidRPr="009954E9" w:rsidRDefault="00960C35" w:rsidP="002E50A6">
            <w:pPr>
              <w:spacing w:after="0" w:line="240" w:lineRule="auto"/>
              <w:jc w:val="center"/>
              <w:rPr>
                <w:rFonts w:eastAsia="Times New Roman" w:cs="Times New Roman"/>
                <w:b/>
                <w:spacing w:val="0"/>
              </w:rPr>
            </w:pPr>
            <w:r w:rsidRPr="009954E9">
              <w:rPr>
                <w:rFonts w:eastAsia="Times New Roman" w:cs="Times New Roman"/>
                <w:b/>
                <w:spacing w:val="0"/>
              </w:rPr>
              <w:t>&amp;</w:t>
            </w:r>
          </w:p>
          <w:p w14:paraId="2952101D" w14:textId="77777777" w:rsidR="00960C35" w:rsidRPr="009954E9" w:rsidRDefault="00960C35" w:rsidP="002E50A6">
            <w:pPr>
              <w:spacing w:after="0" w:line="240" w:lineRule="auto"/>
              <w:jc w:val="center"/>
              <w:rPr>
                <w:rFonts w:eastAsia="Times New Roman" w:cs="Times New Roman"/>
                <w:b/>
                <w:spacing w:val="0"/>
              </w:rPr>
            </w:pPr>
            <w:r w:rsidRPr="009954E9">
              <w:rPr>
                <w:rFonts w:eastAsia="Times New Roman" w:cs="Times New Roman"/>
                <w:b/>
                <w:spacing w:val="0"/>
              </w:rPr>
              <w:t>DEBARMENT</w:t>
            </w:r>
          </w:p>
        </w:tc>
        <w:tc>
          <w:tcPr>
            <w:tcW w:w="5684" w:type="dxa"/>
            <w:tcBorders>
              <w:top w:val="single" w:sz="6" w:space="0" w:color="000000"/>
              <w:left w:val="single" w:sz="4" w:space="0" w:color="000000"/>
              <w:bottom w:val="single" w:sz="6" w:space="0" w:color="000000"/>
            </w:tcBorders>
          </w:tcPr>
          <w:p w14:paraId="4C40F20A" w14:textId="22FBC7F3" w:rsidR="00960C35" w:rsidRPr="009954E9" w:rsidRDefault="00960C35" w:rsidP="003A674D">
            <w:pPr>
              <w:spacing w:after="0" w:line="240" w:lineRule="auto"/>
              <w:rPr>
                <w:rFonts w:eastAsia="Times New Roman" w:cs="Times New Roman"/>
                <w:spacing w:val="0"/>
              </w:rPr>
            </w:pPr>
            <w:r w:rsidRPr="009954E9">
              <w:rPr>
                <w:rFonts w:eastAsia="Times New Roman" w:cs="Times New Roman"/>
                <w:spacing w:val="0"/>
              </w:rPr>
              <w:t xml:space="preserve">Agency is directed to remove the individual from the position to which appointed </w:t>
            </w:r>
            <w:r w:rsidRPr="009954E9">
              <w:rPr>
                <w:rFonts w:eastAsia="Times New Roman" w:cs="Times New Roman"/>
                <w:b/>
                <w:i/>
                <w:spacing w:val="0"/>
              </w:rPr>
              <w:t>plus</w:t>
            </w:r>
            <w:r w:rsidRPr="009954E9">
              <w:rPr>
                <w:rFonts w:eastAsia="Times New Roman" w:cs="Times New Roman"/>
                <w:spacing w:val="0"/>
              </w:rPr>
              <w:t xml:space="preserve"> SAME EFFECTS AS ABOVE for </w:t>
            </w:r>
            <w:r w:rsidRPr="009954E9">
              <w:rPr>
                <w:rFonts w:eastAsia="Times New Roman" w:cs="Times New Roman"/>
                <w:i/>
                <w:spacing w:val="0"/>
              </w:rPr>
              <w:t>INELIGIBLE &amp; DEBARMENT</w:t>
            </w:r>
            <w:r w:rsidR="001E0EB3">
              <w:rPr>
                <w:rFonts w:eastAsia="Times New Roman" w:cs="Times New Roman"/>
                <w:iCs/>
                <w:spacing w:val="0"/>
              </w:rPr>
              <w:t>.</w:t>
            </w:r>
          </w:p>
        </w:tc>
      </w:tr>
      <w:tr w:rsidR="009E2C4B" w:rsidRPr="00960C35" w14:paraId="4DE15C0B" w14:textId="77777777" w:rsidTr="001854BC">
        <w:trPr>
          <w:cantSplit/>
          <w:trHeight w:val="720"/>
          <w:jc w:val="center"/>
        </w:trPr>
        <w:tc>
          <w:tcPr>
            <w:tcW w:w="1515" w:type="dxa"/>
            <w:vMerge/>
            <w:tcBorders>
              <w:bottom w:val="single" w:sz="12" w:space="0" w:color="000000"/>
              <w:right w:val="single" w:sz="6" w:space="0" w:color="000000"/>
            </w:tcBorders>
          </w:tcPr>
          <w:p w14:paraId="714A1E15" w14:textId="77777777" w:rsidR="00960C35" w:rsidRPr="009954E9" w:rsidRDefault="00960C35" w:rsidP="002E50A6">
            <w:pPr>
              <w:spacing w:after="0" w:line="240" w:lineRule="auto"/>
              <w:rPr>
                <w:rFonts w:eastAsia="Times New Roman" w:cs="Times New Roman"/>
                <w:spacing w:val="0"/>
              </w:rPr>
            </w:pPr>
          </w:p>
        </w:tc>
        <w:tc>
          <w:tcPr>
            <w:tcW w:w="1980" w:type="dxa"/>
            <w:tcBorders>
              <w:top w:val="single" w:sz="6" w:space="0" w:color="000000"/>
              <w:left w:val="nil"/>
              <w:bottom w:val="single" w:sz="12" w:space="0" w:color="000000"/>
              <w:right w:val="single" w:sz="4" w:space="0" w:color="000000"/>
            </w:tcBorders>
            <w:vAlign w:val="center"/>
          </w:tcPr>
          <w:p w14:paraId="4370FB59" w14:textId="77777777" w:rsidR="00960C35" w:rsidRPr="009954E9" w:rsidRDefault="00960C35" w:rsidP="00960C35">
            <w:pPr>
              <w:spacing w:after="0" w:line="240" w:lineRule="auto"/>
              <w:jc w:val="center"/>
              <w:rPr>
                <w:rFonts w:eastAsia="Times New Roman" w:cs="Times New Roman"/>
                <w:b/>
                <w:spacing w:val="0"/>
              </w:rPr>
            </w:pPr>
            <w:r w:rsidRPr="009954E9">
              <w:rPr>
                <w:rFonts w:eastAsia="Times New Roman" w:cs="Times New Roman"/>
                <w:b/>
                <w:spacing w:val="0"/>
              </w:rPr>
              <w:t>CANCEL</w:t>
            </w:r>
          </w:p>
          <w:p w14:paraId="60675893" w14:textId="77777777" w:rsidR="00960C35" w:rsidRPr="009954E9" w:rsidRDefault="00960C35" w:rsidP="002E50A6">
            <w:pPr>
              <w:spacing w:after="0" w:line="240" w:lineRule="auto"/>
              <w:jc w:val="center"/>
              <w:rPr>
                <w:rFonts w:eastAsia="Times New Roman" w:cs="Times New Roman"/>
                <w:b/>
                <w:spacing w:val="0"/>
              </w:rPr>
            </w:pPr>
            <w:r w:rsidRPr="009954E9">
              <w:rPr>
                <w:rFonts w:eastAsia="Times New Roman" w:cs="Times New Roman"/>
                <w:b/>
                <w:spacing w:val="0"/>
              </w:rPr>
              <w:t>REINSTATEMENT ELIGIBILITY</w:t>
            </w:r>
          </w:p>
        </w:tc>
        <w:tc>
          <w:tcPr>
            <w:tcW w:w="5684" w:type="dxa"/>
            <w:tcBorders>
              <w:top w:val="single" w:sz="6" w:space="0" w:color="000000"/>
              <w:left w:val="single" w:sz="4" w:space="0" w:color="000000"/>
              <w:bottom w:val="single" w:sz="12" w:space="0" w:color="000000"/>
            </w:tcBorders>
          </w:tcPr>
          <w:p w14:paraId="77BDF809" w14:textId="77777777" w:rsidR="00960C35" w:rsidRPr="009954E9" w:rsidRDefault="00960C35" w:rsidP="003A674D">
            <w:pPr>
              <w:spacing w:after="0" w:line="240" w:lineRule="auto"/>
              <w:rPr>
                <w:rFonts w:eastAsia="Times New Roman" w:cs="Times New Roman"/>
                <w:spacing w:val="0"/>
              </w:rPr>
            </w:pPr>
            <w:r w:rsidRPr="009954E9">
              <w:rPr>
                <w:rFonts w:eastAsia="Times New Roman" w:cs="Times New Roman"/>
                <w:spacing w:val="0"/>
              </w:rPr>
              <w:t>Any employee’s reinstatement eligibility earned as a result of a fraudulent appointment is canceled (applies to employee cases).</w:t>
            </w:r>
          </w:p>
        </w:tc>
      </w:tr>
    </w:tbl>
    <w:p w14:paraId="5994E5B1" w14:textId="77777777" w:rsidR="00960C35" w:rsidRPr="00960C35" w:rsidRDefault="00960C35" w:rsidP="00960C35">
      <w:pPr>
        <w:widowControl w:val="0"/>
        <w:spacing w:after="0" w:line="240" w:lineRule="auto"/>
        <w:rPr>
          <w:rFonts w:ascii="CG Times" w:eastAsia="Times New Roman" w:hAnsi="CG Times" w:cs="Times New Roman"/>
          <w:snapToGrid w:val="0"/>
          <w:spacing w:val="0"/>
          <w:sz w:val="24"/>
          <w:szCs w:val="20"/>
        </w:rPr>
      </w:pPr>
    </w:p>
    <w:p w14:paraId="32129D69" w14:textId="44CAF3BC" w:rsidR="00513DF5" w:rsidRDefault="00513DF5" w:rsidP="00BF01A9">
      <w:pPr>
        <w:pStyle w:val="Heading3"/>
        <w:rPr>
          <w:rFonts w:ascii="Arial" w:eastAsia="Times New Roman" w:hAnsi="Arial" w:cs="Arial"/>
          <w:color w:val="000000"/>
          <w:spacing w:val="0"/>
          <w:kern w:val="28"/>
        </w:rPr>
      </w:pPr>
      <w:bookmarkStart w:id="151" w:name="_Toc187052996"/>
      <w:bookmarkStart w:id="152" w:name="_Toc187924177"/>
      <w:bookmarkStart w:id="153" w:name="_Hlk185625263"/>
      <w:r w:rsidRPr="548D0660">
        <w:rPr>
          <w:rStyle w:val="normaltextrun"/>
          <w:shd w:val="clear" w:color="auto" w:fill="FFFFFF"/>
        </w:rPr>
        <w:t>5.7.</w:t>
      </w:r>
      <w:r w:rsidR="00BB263B" w:rsidRPr="548D0660">
        <w:rPr>
          <w:rStyle w:val="normaltextrun"/>
          <w:shd w:val="clear" w:color="auto" w:fill="FFFFFF"/>
        </w:rPr>
        <w:t>1</w:t>
      </w:r>
      <w:r w:rsidRPr="548D0660">
        <w:rPr>
          <w:rStyle w:val="normaltextrun"/>
          <w:shd w:val="clear" w:color="auto" w:fill="FFFFFF"/>
        </w:rPr>
        <w:t xml:space="preserve"> – Proposed Actions</w:t>
      </w:r>
      <w:bookmarkEnd w:id="151"/>
      <w:bookmarkEnd w:id="152"/>
      <w:r w:rsidRPr="548D0660">
        <w:rPr>
          <w:rStyle w:val="eop"/>
          <w:shd w:val="clear" w:color="auto" w:fill="FFFFFF"/>
        </w:rPr>
        <w:t> </w:t>
      </w:r>
    </w:p>
    <w:bookmarkEnd w:id="153"/>
    <w:p w14:paraId="505DCF7C" w14:textId="548F9D1D" w:rsidR="00FF323F" w:rsidRPr="009954E9" w:rsidRDefault="00FF323F" w:rsidP="00D31FAA">
      <w:pPr>
        <w:widowControl w:val="0"/>
        <w:spacing w:after="120"/>
        <w:rPr>
          <w:rFonts w:eastAsia="Times New Roman" w:cs="Arial"/>
          <w:color w:val="000000"/>
          <w:spacing w:val="0"/>
          <w:kern w:val="28"/>
        </w:rPr>
      </w:pPr>
      <w:r w:rsidRPr="009954E9">
        <w:rPr>
          <w:rFonts w:eastAsia="Times New Roman" w:cs="Arial"/>
          <w:color w:val="000000"/>
          <w:spacing w:val="0"/>
          <w:kern w:val="28"/>
        </w:rPr>
        <w:t>Before taking a negative suitability action under 5 C</w:t>
      </w:r>
      <w:r w:rsidR="008A779F">
        <w:rPr>
          <w:rFonts w:eastAsia="Times New Roman" w:cs="Arial"/>
          <w:color w:val="000000"/>
          <w:spacing w:val="0"/>
          <w:kern w:val="28"/>
        </w:rPr>
        <w:t>.</w:t>
      </w:r>
      <w:r w:rsidRPr="009954E9">
        <w:rPr>
          <w:rFonts w:eastAsia="Times New Roman" w:cs="Arial"/>
          <w:color w:val="000000"/>
          <w:spacing w:val="0"/>
          <w:kern w:val="28"/>
        </w:rPr>
        <w:t>F</w:t>
      </w:r>
      <w:r w:rsidR="008A779F">
        <w:rPr>
          <w:rFonts w:eastAsia="Times New Roman" w:cs="Arial"/>
          <w:color w:val="000000"/>
          <w:spacing w:val="0"/>
          <w:kern w:val="28"/>
        </w:rPr>
        <w:t>.</w:t>
      </w:r>
      <w:r w:rsidRPr="009954E9">
        <w:rPr>
          <w:rFonts w:eastAsia="Times New Roman" w:cs="Arial"/>
          <w:color w:val="000000"/>
          <w:spacing w:val="0"/>
          <w:kern w:val="28"/>
        </w:rPr>
        <w:t>R</w:t>
      </w:r>
      <w:r w:rsidR="008A779F">
        <w:rPr>
          <w:rFonts w:eastAsia="Times New Roman" w:cs="Arial"/>
          <w:color w:val="000000"/>
          <w:spacing w:val="0"/>
          <w:kern w:val="28"/>
        </w:rPr>
        <w:t>.</w:t>
      </w:r>
      <w:r w:rsidRPr="009954E9">
        <w:rPr>
          <w:rFonts w:eastAsia="Times New Roman" w:cs="Arial"/>
          <w:color w:val="000000"/>
          <w:spacing w:val="0"/>
          <w:kern w:val="28"/>
        </w:rPr>
        <w:t xml:space="preserve"> </w:t>
      </w:r>
      <w:r w:rsidR="008A779F">
        <w:rPr>
          <w:rFonts w:eastAsia="Times New Roman" w:cs="Arial"/>
          <w:color w:val="000000"/>
          <w:spacing w:val="0"/>
          <w:kern w:val="28"/>
        </w:rPr>
        <w:t>part</w:t>
      </w:r>
      <w:r w:rsidRPr="009954E9">
        <w:rPr>
          <w:rFonts w:eastAsia="Times New Roman" w:cs="Arial"/>
          <w:color w:val="000000"/>
          <w:spacing w:val="0"/>
          <w:kern w:val="28"/>
        </w:rPr>
        <w:t xml:space="preserve"> 731, OPM or the agency must advise the </w:t>
      </w:r>
      <w:r w:rsidR="00936A16" w:rsidRPr="009954E9">
        <w:rPr>
          <w:rFonts w:eastAsia="Times New Roman" w:cs="Arial"/>
          <w:color w:val="000000"/>
          <w:spacing w:val="0"/>
          <w:kern w:val="28"/>
        </w:rPr>
        <w:t>individual</w:t>
      </w:r>
      <w:r w:rsidRPr="009954E9">
        <w:rPr>
          <w:rFonts w:eastAsia="Times New Roman" w:cs="Arial"/>
          <w:color w:val="000000"/>
          <w:spacing w:val="0"/>
          <w:kern w:val="28"/>
        </w:rPr>
        <w:t xml:space="preserve"> (hereinafter referred to as the respondent) in writing of the proposed action. The written notice must include the following: </w:t>
      </w:r>
    </w:p>
    <w:p w14:paraId="39EDAF00" w14:textId="654A7FCC" w:rsidR="00FF323F" w:rsidRPr="009954E9" w:rsidRDefault="00FF323F" w:rsidP="000B08DA">
      <w:pPr>
        <w:pStyle w:val="ListParagraph"/>
        <w:widowControl w:val="0"/>
        <w:numPr>
          <w:ilvl w:val="0"/>
          <w:numId w:val="28"/>
        </w:numPr>
        <w:spacing w:after="120"/>
        <w:rPr>
          <w:rFonts w:eastAsia="Times New Roman" w:cs="Arial"/>
          <w:color w:val="000000"/>
          <w:spacing w:val="0"/>
          <w:kern w:val="28"/>
        </w:rPr>
      </w:pPr>
      <w:r w:rsidRPr="009954E9">
        <w:rPr>
          <w:rFonts w:eastAsia="Times New Roman" w:cs="Arial"/>
          <w:color w:val="000000"/>
          <w:spacing w:val="0"/>
          <w:kern w:val="28"/>
        </w:rPr>
        <w:t>The specific reasons for the proposed action, including a summary showing the details of the character or conduct of concern, the authorities for the action, and the applicable factors and additional considerations;</w:t>
      </w:r>
    </w:p>
    <w:p w14:paraId="6E5F5C81" w14:textId="7B3A7AAF" w:rsidR="00FF323F" w:rsidRPr="009954E9" w:rsidRDefault="00FF323F" w:rsidP="000B08DA">
      <w:pPr>
        <w:pStyle w:val="ListParagraph"/>
        <w:widowControl w:val="0"/>
        <w:numPr>
          <w:ilvl w:val="0"/>
          <w:numId w:val="28"/>
        </w:numPr>
        <w:spacing w:after="120"/>
        <w:rPr>
          <w:rFonts w:eastAsia="Times New Roman" w:cs="Arial"/>
          <w:color w:val="000000"/>
          <w:spacing w:val="0"/>
          <w:kern w:val="28"/>
        </w:rPr>
      </w:pPr>
      <w:r w:rsidRPr="009954E9">
        <w:rPr>
          <w:rFonts w:eastAsia="Times New Roman" w:cs="Arial"/>
          <w:color w:val="000000"/>
          <w:spacing w:val="0"/>
          <w:kern w:val="28"/>
        </w:rPr>
        <w:t>A description of how the information was developed; for example:</w:t>
      </w:r>
    </w:p>
    <w:p w14:paraId="5B6CA1F8" w14:textId="416CBE24" w:rsidR="00FF323F" w:rsidRPr="009954E9" w:rsidRDefault="00FF323F" w:rsidP="005F5C8F">
      <w:pPr>
        <w:pStyle w:val="ListParagraph"/>
        <w:widowControl w:val="0"/>
        <w:numPr>
          <w:ilvl w:val="0"/>
          <w:numId w:val="76"/>
        </w:numPr>
        <w:spacing w:after="120"/>
        <w:rPr>
          <w:rFonts w:eastAsia="Times New Roman" w:cs="Arial"/>
          <w:color w:val="000000"/>
          <w:spacing w:val="0"/>
          <w:kern w:val="28"/>
        </w:rPr>
      </w:pPr>
      <w:r w:rsidRPr="009954E9">
        <w:rPr>
          <w:rFonts w:eastAsia="Times New Roman" w:cs="Arial"/>
          <w:color w:val="000000"/>
          <w:spacing w:val="0"/>
          <w:kern w:val="28"/>
        </w:rPr>
        <w:t>Document submitted from the examining office, human resources office, or other authority;</w:t>
      </w:r>
    </w:p>
    <w:p w14:paraId="718E9084" w14:textId="7582DCBF" w:rsidR="00FF323F" w:rsidRPr="009954E9" w:rsidRDefault="00FF323F" w:rsidP="005F5C8F">
      <w:pPr>
        <w:pStyle w:val="ListParagraph"/>
        <w:widowControl w:val="0"/>
        <w:numPr>
          <w:ilvl w:val="0"/>
          <w:numId w:val="76"/>
        </w:numPr>
        <w:spacing w:after="120"/>
        <w:rPr>
          <w:rFonts w:eastAsia="Times New Roman" w:cs="Arial"/>
          <w:color w:val="000000"/>
          <w:spacing w:val="0"/>
          <w:kern w:val="28"/>
        </w:rPr>
      </w:pPr>
      <w:r w:rsidRPr="009954E9">
        <w:rPr>
          <w:rFonts w:eastAsia="Times New Roman" w:cs="Arial"/>
          <w:color w:val="000000"/>
          <w:spacing w:val="0"/>
          <w:kern w:val="28"/>
        </w:rPr>
        <w:t>Information on an application, OF 306, or investigative case data form;</w:t>
      </w:r>
    </w:p>
    <w:p w14:paraId="054B079A" w14:textId="1C8C156E" w:rsidR="00FF323F" w:rsidRPr="009954E9" w:rsidRDefault="00FF323F" w:rsidP="005F5C8F">
      <w:pPr>
        <w:pStyle w:val="ListParagraph"/>
        <w:widowControl w:val="0"/>
        <w:numPr>
          <w:ilvl w:val="0"/>
          <w:numId w:val="76"/>
        </w:numPr>
        <w:spacing w:after="120"/>
        <w:rPr>
          <w:rFonts w:eastAsia="Times New Roman" w:cs="Arial"/>
          <w:color w:val="000000"/>
          <w:spacing w:val="0"/>
          <w:kern w:val="28"/>
        </w:rPr>
      </w:pPr>
      <w:r w:rsidRPr="009954E9">
        <w:rPr>
          <w:rFonts w:eastAsia="Times New Roman" w:cs="Arial"/>
          <w:color w:val="000000"/>
          <w:spacing w:val="0"/>
          <w:kern w:val="28"/>
        </w:rPr>
        <w:t>An investigation; or</w:t>
      </w:r>
    </w:p>
    <w:p w14:paraId="2A6F44F0" w14:textId="0D1A6731" w:rsidR="00FF323F" w:rsidRPr="009954E9" w:rsidRDefault="00FF323F" w:rsidP="00532BFA">
      <w:pPr>
        <w:pStyle w:val="ListParagraph"/>
        <w:widowControl w:val="0"/>
        <w:numPr>
          <w:ilvl w:val="0"/>
          <w:numId w:val="76"/>
        </w:numPr>
        <w:rPr>
          <w:rFonts w:eastAsia="Times New Roman" w:cs="Arial"/>
          <w:color w:val="000000"/>
          <w:spacing w:val="0"/>
          <w:kern w:val="28"/>
        </w:rPr>
      </w:pPr>
      <w:r w:rsidRPr="009954E9">
        <w:rPr>
          <w:rFonts w:eastAsia="Times New Roman" w:cs="Arial"/>
          <w:color w:val="000000"/>
          <w:spacing w:val="0"/>
          <w:kern w:val="28"/>
        </w:rPr>
        <w:t>Other sources.</w:t>
      </w:r>
    </w:p>
    <w:p w14:paraId="4EA06BDC" w14:textId="4A73B31E" w:rsidR="00513DF5" w:rsidRPr="009954E9" w:rsidRDefault="00FF323F" w:rsidP="00967FEC">
      <w:pPr>
        <w:widowControl w:val="0"/>
        <w:spacing w:after="120"/>
        <w:rPr>
          <w:rFonts w:eastAsia="Times New Roman" w:cs="Arial"/>
          <w:color w:val="000000"/>
          <w:spacing w:val="0"/>
          <w:kern w:val="28"/>
        </w:rPr>
      </w:pPr>
      <w:r w:rsidRPr="009954E9">
        <w:rPr>
          <w:rFonts w:eastAsia="Times New Roman" w:cs="Arial"/>
          <w:color w:val="000000"/>
          <w:spacing w:val="0"/>
          <w:kern w:val="28"/>
        </w:rPr>
        <w:t>The right to answer the notice in writing within 30 days from the date of the letter, and to provide any documentary evidence, to include affidavits, in support of the answer.</w:t>
      </w:r>
    </w:p>
    <w:p w14:paraId="68278B59" w14:textId="14C0DF37" w:rsidR="00FF323F" w:rsidRPr="009954E9" w:rsidRDefault="00FF323F" w:rsidP="00E70198">
      <w:pPr>
        <w:pStyle w:val="ListParagraph"/>
        <w:widowControl w:val="0"/>
        <w:numPr>
          <w:ilvl w:val="0"/>
          <w:numId w:val="75"/>
        </w:numPr>
        <w:spacing w:after="120"/>
        <w:ind w:left="720"/>
        <w:rPr>
          <w:rFonts w:eastAsia="Times New Roman" w:cs="Arial"/>
          <w:color w:val="000000"/>
          <w:spacing w:val="0"/>
          <w:kern w:val="28"/>
        </w:rPr>
      </w:pPr>
      <w:r w:rsidRPr="009954E9">
        <w:rPr>
          <w:rFonts w:eastAsia="Times New Roman" w:cs="Arial"/>
          <w:color w:val="000000"/>
          <w:spacing w:val="0"/>
          <w:kern w:val="28"/>
        </w:rPr>
        <w:t>Notification that the materials relied upon are available for review upon request (</w:t>
      </w:r>
      <w:r w:rsidR="00A33F94">
        <w:rPr>
          <w:rFonts w:eastAsia="Times New Roman" w:cs="Arial"/>
          <w:color w:val="000000"/>
          <w:spacing w:val="0"/>
          <w:kern w:val="28"/>
        </w:rPr>
        <w:t>s</w:t>
      </w:r>
      <w:r w:rsidRPr="00E70198">
        <w:rPr>
          <w:rFonts w:eastAsia="Times New Roman" w:cs="Arial"/>
          <w:color w:val="000000"/>
          <w:spacing w:val="0"/>
          <w:kern w:val="28"/>
        </w:rPr>
        <w:t>ee</w:t>
      </w:r>
      <w:r w:rsidRPr="009954E9">
        <w:rPr>
          <w:rFonts w:eastAsia="Times New Roman" w:cs="Arial"/>
          <w:color w:val="000000"/>
          <w:spacing w:val="0"/>
          <w:kern w:val="28"/>
        </w:rPr>
        <w:t xml:space="preserve"> </w:t>
      </w:r>
      <w:hyperlink w:anchor="_5.7.2_–_Materials">
        <w:r w:rsidRPr="2AEFA46C">
          <w:rPr>
            <w:rStyle w:val="Hyperlink"/>
            <w:rFonts w:eastAsia="Times New Roman" w:cs="Arial"/>
          </w:rPr>
          <w:t>Materials Relied Upon</w:t>
        </w:r>
      </w:hyperlink>
      <w:r w:rsidRPr="009954E9">
        <w:rPr>
          <w:rFonts w:eastAsia="Times New Roman" w:cs="Arial"/>
          <w:color w:val="000000"/>
          <w:spacing w:val="0"/>
          <w:kern w:val="28"/>
        </w:rPr>
        <w:t xml:space="preserve"> in this volume).</w:t>
      </w:r>
    </w:p>
    <w:p w14:paraId="5019D336" w14:textId="2570C27C" w:rsidR="00FF323F" w:rsidRPr="009954E9" w:rsidRDefault="00FF323F" w:rsidP="00E70198">
      <w:pPr>
        <w:pStyle w:val="ListParagraph"/>
        <w:widowControl w:val="0"/>
        <w:numPr>
          <w:ilvl w:val="0"/>
          <w:numId w:val="75"/>
        </w:numPr>
        <w:spacing w:after="0"/>
        <w:ind w:left="720"/>
        <w:rPr>
          <w:rFonts w:eastAsia="Times New Roman" w:cs="Arial"/>
          <w:color w:val="000000"/>
          <w:spacing w:val="0"/>
          <w:kern w:val="28"/>
        </w:rPr>
      </w:pPr>
      <w:r w:rsidRPr="009954E9">
        <w:rPr>
          <w:rFonts w:eastAsia="Times New Roman" w:cs="Arial"/>
          <w:color w:val="000000"/>
          <w:spacing w:val="0"/>
          <w:kern w:val="28"/>
        </w:rPr>
        <w:t>The right to be represented by a representative of choice with such representation being designated in writing by the respondent.</w:t>
      </w:r>
    </w:p>
    <w:p w14:paraId="1ADDE1BD" w14:textId="77777777" w:rsidR="00513DF5" w:rsidRPr="009954E9" w:rsidRDefault="00513DF5" w:rsidP="00FB6F28">
      <w:pPr>
        <w:spacing w:after="0"/>
        <w:rPr>
          <w:rFonts w:eastAsia="Times New Roman" w:cs="Times New Roman"/>
          <w:spacing w:val="0"/>
        </w:rPr>
      </w:pPr>
    </w:p>
    <w:p w14:paraId="5AEC4C2C" w14:textId="682358F0" w:rsidR="00936A16" w:rsidRPr="009954E9" w:rsidRDefault="00936A16" w:rsidP="00FB6F28">
      <w:pPr>
        <w:spacing w:after="0"/>
        <w:rPr>
          <w:rFonts w:eastAsia="Times New Roman" w:cs="Times New Roman"/>
          <w:spacing w:val="0"/>
        </w:rPr>
      </w:pPr>
      <w:r w:rsidRPr="009954E9">
        <w:rPr>
          <w:rFonts w:eastAsia="Times New Roman" w:cs="Times New Roman"/>
          <w:spacing w:val="0"/>
        </w:rPr>
        <w:t>The notice may be hand-delivered, mailed or sent by secure email. For OPM actions against appointees or employees, OPM will coordinate delivery with the employing agency</w:t>
      </w:r>
      <w:r w:rsidR="00513DF5" w:rsidRPr="009954E9">
        <w:rPr>
          <w:rFonts w:eastAsia="Times New Roman" w:cs="Times New Roman"/>
          <w:spacing w:val="0"/>
        </w:rPr>
        <w:t xml:space="preserve">. When the </w:t>
      </w:r>
      <w:r w:rsidR="00513DF5" w:rsidRPr="009954E9">
        <w:rPr>
          <w:rFonts w:eastAsia="Times New Roman" w:cs="Times New Roman"/>
          <w:spacing w:val="0"/>
        </w:rPr>
        <w:lastRenderedPageBreak/>
        <w:t>agency is delivering the letter to the individual, OPM will request the agency return a signed transmittal by the individual.</w:t>
      </w:r>
    </w:p>
    <w:p w14:paraId="09C89E74" w14:textId="36331ED5" w:rsidR="00FF323F" w:rsidRPr="009954E9" w:rsidRDefault="00FF323F" w:rsidP="004D22A6">
      <w:pPr>
        <w:widowControl w:val="0"/>
        <w:spacing w:after="0"/>
        <w:rPr>
          <w:rFonts w:eastAsia="Times New Roman" w:cs="Arial"/>
          <w:color w:val="000000"/>
          <w:spacing w:val="0"/>
          <w:kern w:val="28"/>
        </w:rPr>
      </w:pPr>
    </w:p>
    <w:p w14:paraId="707387D4" w14:textId="6E403D49" w:rsidR="00FF323F" w:rsidRPr="009954E9" w:rsidRDefault="00936A16" w:rsidP="00FB6F28">
      <w:pPr>
        <w:widowControl w:val="0"/>
        <w:spacing w:after="0"/>
        <w:rPr>
          <w:rFonts w:eastAsia="Times New Roman" w:cs="Arial"/>
          <w:color w:val="000000"/>
          <w:spacing w:val="0"/>
          <w:kern w:val="28"/>
        </w:rPr>
      </w:pPr>
      <w:r w:rsidRPr="009954E9">
        <w:rPr>
          <w:rFonts w:eastAsia="Times New Roman" w:cs="Arial"/>
          <w:color w:val="000000"/>
          <w:spacing w:val="0"/>
          <w:kern w:val="28"/>
        </w:rPr>
        <w:t>Appointees and employees</w:t>
      </w:r>
      <w:r w:rsidR="00FF323F" w:rsidRPr="009954E9">
        <w:rPr>
          <w:rFonts w:eastAsia="Times New Roman" w:cs="Arial"/>
          <w:color w:val="000000"/>
          <w:spacing w:val="0"/>
          <w:kern w:val="28"/>
        </w:rPr>
        <w:t xml:space="preserve"> must be retained in a paid status during the notice period. </w:t>
      </w:r>
    </w:p>
    <w:p w14:paraId="51F542B2" w14:textId="77777777" w:rsidR="005D1B3D" w:rsidRDefault="005D1B3D" w:rsidP="00FB6F28">
      <w:pPr>
        <w:widowControl w:val="0"/>
        <w:spacing w:after="120"/>
        <w:rPr>
          <w:rStyle w:val="normaltextrun"/>
          <w:rFonts w:ascii="Source Sans Pro" w:hAnsi="Source Sans Pro"/>
          <w:b/>
          <w:bCs/>
          <w:color w:val="727477"/>
          <w:sz w:val="32"/>
          <w:szCs w:val="32"/>
          <w:shd w:val="clear" w:color="auto" w:fill="FFFFFF"/>
        </w:rPr>
      </w:pPr>
    </w:p>
    <w:p w14:paraId="7CF579AB" w14:textId="7985B004" w:rsidR="005D1B3D" w:rsidRDefault="005D1B3D" w:rsidP="00BF01A9">
      <w:pPr>
        <w:pStyle w:val="Heading3"/>
        <w:rPr>
          <w:rFonts w:ascii="Arial" w:eastAsia="Times New Roman" w:hAnsi="Arial" w:cs="Arial"/>
          <w:color w:val="000000"/>
          <w:spacing w:val="0"/>
          <w:kern w:val="28"/>
        </w:rPr>
      </w:pPr>
      <w:bookmarkStart w:id="154" w:name="_Toc187052997"/>
      <w:bookmarkStart w:id="155" w:name="_5.7.2_–_Materials"/>
      <w:bookmarkStart w:id="156" w:name="_Toc187924178"/>
      <w:r w:rsidRPr="548D0660">
        <w:rPr>
          <w:rStyle w:val="normaltextrun"/>
          <w:shd w:val="clear" w:color="auto" w:fill="FFFFFF"/>
        </w:rPr>
        <w:t>5.7.</w:t>
      </w:r>
      <w:r w:rsidR="00C831A5" w:rsidRPr="00C831A5">
        <w:rPr>
          <w:rStyle w:val="normaltextrun"/>
          <w:shd w:val="clear" w:color="auto" w:fill="FFFFFF"/>
        </w:rPr>
        <w:t>2</w:t>
      </w:r>
      <w:r w:rsidRPr="548D0660">
        <w:rPr>
          <w:rStyle w:val="normaltextrun"/>
          <w:shd w:val="clear" w:color="auto" w:fill="FFFFFF"/>
        </w:rPr>
        <w:t xml:space="preserve"> – Materials Relied Upon</w:t>
      </w:r>
      <w:bookmarkEnd w:id="154"/>
      <w:bookmarkEnd w:id="155"/>
      <w:bookmarkEnd w:id="156"/>
      <w:r w:rsidRPr="548D0660">
        <w:rPr>
          <w:rStyle w:val="eop"/>
          <w:shd w:val="clear" w:color="auto" w:fill="FFFFFF"/>
        </w:rPr>
        <w:t> </w:t>
      </w:r>
    </w:p>
    <w:p w14:paraId="4DCB0971" w14:textId="46E6A4AD" w:rsidR="003C5B98" w:rsidRPr="009039C0" w:rsidRDefault="003C5B98" w:rsidP="00861E1C">
      <w:pPr>
        <w:widowControl w:val="0"/>
        <w:spacing w:after="120"/>
        <w:rPr>
          <w:rFonts w:eastAsia="Times New Roman" w:cs="Arial"/>
          <w:color w:val="000000"/>
          <w:spacing w:val="0"/>
          <w:kern w:val="28"/>
        </w:rPr>
      </w:pPr>
      <w:r w:rsidRPr="009039C0">
        <w:rPr>
          <w:rFonts w:eastAsia="Times New Roman" w:cs="Arial"/>
          <w:color w:val="000000"/>
          <w:spacing w:val="0"/>
          <w:kern w:val="28"/>
        </w:rPr>
        <w:t>Under the provisions of 5 C</w:t>
      </w:r>
      <w:r w:rsidR="008A779F">
        <w:rPr>
          <w:rFonts w:eastAsia="Times New Roman" w:cs="Arial"/>
          <w:color w:val="000000"/>
          <w:spacing w:val="0"/>
          <w:kern w:val="28"/>
        </w:rPr>
        <w:t>.</w:t>
      </w:r>
      <w:r w:rsidRPr="009039C0">
        <w:rPr>
          <w:rFonts w:eastAsia="Times New Roman" w:cs="Arial"/>
          <w:color w:val="000000"/>
          <w:spacing w:val="0"/>
          <w:kern w:val="28"/>
        </w:rPr>
        <w:t>F</w:t>
      </w:r>
      <w:r w:rsidR="008A779F">
        <w:rPr>
          <w:rFonts w:eastAsia="Times New Roman" w:cs="Arial"/>
          <w:color w:val="000000"/>
          <w:spacing w:val="0"/>
          <w:kern w:val="28"/>
        </w:rPr>
        <w:t>.</w:t>
      </w:r>
      <w:r w:rsidRPr="009039C0">
        <w:rPr>
          <w:rFonts w:eastAsia="Times New Roman" w:cs="Arial"/>
          <w:color w:val="000000"/>
          <w:spacing w:val="0"/>
          <w:kern w:val="28"/>
        </w:rPr>
        <w:t>R</w:t>
      </w:r>
      <w:r w:rsidR="008A779F">
        <w:rPr>
          <w:rFonts w:eastAsia="Times New Roman" w:cs="Arial"/>
          <w:color w:val="000000"/>
          <w:spacing w:val="0"/>
          <w:kern w:val="28"/>
        </w:rPr>
        <w:t>. part</w:t>
      </w:r>
      <w:r w:rsidR="3636808B" w:rsidRPr="548D0660">
        <w:rPr>
          <w:rFonts w:eastAsia="Times New Roman" w:cs="Times New Roman"/>
          <w:color w:val="000000" w:themeColor="text1"/>
        </w:rPr>
        <w:t xml:space="preserve"> </w:t>
      </w:r>
      <w:r w:rsidRPr="009039C0">
        <w:rPr>
          <w:rFonts w:eastAsia="Times New Roman" w:cs="Arial"/>
          <w:color w:val="000000"/>
          <w:spacing w:val="0"/>
          <w:kern w:val="28"/>
        </w:rPr>
        <w:t>731, respondents to a proposed suitability action have the right to request and review the materials that were relied upon in proposing the suitability action, and to provide an answer to that information. OPM and agencies must furnish all releasable materials that the adjudicator considered, including material that supports the charges or that supports any of the additional considerations in 5 C</w:t>
      </w:r>
      <w:r w:rsidR="008A779F">
        <w:rPr>
          <w:rFonts w:eastAsia="Times New Roman" w:cs="Arial"/>
          <w:color w:val="000000"/>
          <w:spacing w:val="0"/>
          <w:kern w:val="28"/>
        </w:rPr>
        <w:t>.</w:t>
      </w:r>
      <w:r w:rsidRPr="009039C0">
        <w:rPr>
          <w:rFonts w:eastAsia="Times New Roman" w:cs="Arial"/>
          <w:color w:val="000000"/>
          <w:spacing w:val="0"/>
          <w:kern w:val="28"/>
        </w:rPr>
        <w:t>F</w:t>
      </w:r>
      <w:r w:rsidR="008A779F">
        <w:rPr>
          <w:rFonts w:eastAsia="Times New Roman" w:cs="Arial"/>
          <w:color w:val="000000"/>
          <w:spacing w:val="0"/>
          <w:kern w:val="28"/>
        </w:rPr>
        <w:t>.</w:t>
      </w:r>
      <w:r w:rsidRPr="009039C0">
        <w:rPr>
          <w:rFonts w:eastAsia="Times New Roman" w:cs="Arial"/>
          <w:color w:val="000000"/>
          <w:spacing w:val="0"/>
          <w:kern w:val="28"/>
        </w:rPr>
        <w:t>R</w:t>
      </w:r>
      <w:r w:rsidR="008A779F">
        <w:rPr>
          <w:rFonts w:eastAsia="Times New Roman" w:cs="Arial"/>
          <w:color w:val="000000"/>
          <w:spacing w:val="0"/>
          <w:kern w:val="28"/>
        </w:rPr>
        <w:t>. part</w:t>
      </w:r>
      <w:r w:rsidR="0B9AEFD4" w:rsidRPr="548D0660">
        <w:rPr>
          <w:rFonts w:eastAsia="Times New Roman" w:cs="Times New Roman"/>
          <w:color w:val="000000" w:themeColor="text1"/>
        </w:rPr>
        <w:t xml:space="preserve"> </w:t>
      </w:r>
      <w:r w:rsidRPr="009039C0">
        <w:rPr>
          <w:rFonts w:eastAsia="Times New Roman" w:cs="Arial"/>
          <w:color w:val="000000"/>
          <w:spacing w:val="0"/>
          <w:kern w:val="28"/>
        </w:rPr>
        <w:t>731.202(c) that the adjudicator deemed pertinent to the charges</w:t>
      </w:r>
      <w:r w:rsidR="00513DF5" w:rsidRPr="009039C0">
        <w:rPr>
          <w:rFonts w:eastAsia="Times New Roman" w:cs="Arial"/>
          <w:color w:val="000000"/>
          <w:spacing w:val="0"/>
          <w:kern w:val="28"/>
        </w:rPr>
        <w:t>.</w:t>
      </w:r>
      <w:r w:rsidRPr="009039C0">
        <w:rPr>
          <w:rFonts w:eastAsia="Times New Roman" w:cs="Arial"/>
          <w:color w:val="000000"/>
          <w:spacing w:val="0"/>
          <w:kern w:val="28"/>
        </w:rPr>
        <w:t xml:space="preserve"> </w:t>
      </w:r>
    </w:p>
    <w:p w14:paraId="3EA9C481" w14:textId="77777777" w:rsidR="003C5B98" w:rsidRPr="00960C35" w:rsidRDefault="003C5B98" w:rsidP="00861E1C">
      <w:pPr>
        <w:widowControl w:val="0"/>
        <w:spacing w:after="0"/>
        <w:rPr>
          <w:rFonts w:ascii="Arial" w:eastAsia="Times New Roman" w:hAnsi="Arial" w:cs="Arial"/>
          <w:color w:val="000000"/>
          <w:spacing w:val="0"/>
          <w:kern w:val="28"/>
        </w:rPr>
      </w:pPr>
    </w:p>
    <w:p w14:paraId="62688D2A" w14:textId="65BCBF6D" w:rsidR="005D1B3D" w:rsidRDefault="005D1B3D" w:rsidP="00C831A5">
      <w:pPr>
        <w:pStyle w:val="Heading3"/>
        <w:rPr>
          <w:rFonts w:ascii="Arial" w:eastAsia="Times New Roman" w:hAnsi="Arial" w:cs="Arial"/>
          <w:color w:val="000000"/>
          <w:spacing w:val="0"/>
          <w:kern w:val="28"/>
        </w:rPr>
      </w:pPr>
      <w:bookmarkStart w:id="157" w:name="_Toc187052998"/>
      <w:bookmarkStart w:id="158" w:name="_Toc187924179"/>
      <w:bookmarkStart w:id="159" w:name="_Hlk185625456"/>
      <w:r w:rsidRPr="548D0660">
        <w:rPr>
          <w:rStyle w:val="normaltextrun"/>
          <w:shd w:val="clear" w:color="auto" w:fill="FFFFFF"/>
        </w:rPr>
        <w:t>5.7.</w:t>
      </w:r>
      <w:r w:rsidR="00C831A5" w:rsidRPr="00C831A5">
        <w:rPr>
          <w:rStyle w:val="normaltextrun"/>
          <w:shd w:val="clear" w:color="auto" w:fill="FFFFFF"/>
        </w:rPr>
        <w:t>3</w:t>
      </w:r>
      <w:r w:rsidRPr="548D0660">
        <w:rPr>
          <w:rStyle w:val="normaltextrun"/>
          <w:shd w:val="clear" w:color="auto" w:fill="FFFFFF"/>
        </w:rPr>
        <w:t xml:space="preserve"> – Debarment Length</w:t>
      </w:r>
      <w:bookmarkEnd w:id="157"/>
      <w:bookmarkEnd w:id="158"/>
      <w:r w:rsidRPr="548D0660">
        <w:rPr>
          <w:rStyle w:val="eop"/>
          <w:shd w:val="clear" w:color="auto" w:fill="FFFFFF"/>
        </w:rPr>
        <w:t> </w:t>
      </w:r>
    </w:p>
    <w:bookmarkEnd w:id="159"/>
    <w:p w14:paraId="21925EA3" w14:textId="1B495650" w:rsidR="005D1B3D" w:rsidRDefault="003C5B98" w:rsidP="00861E1C">
      <w:pPr>
        <w:spacing w:after="0"/>
        <w:textAlignment w:val="baseline"/>
        <w:rPr>
          <w:rFonts w:eastAsia="Times New Roman" w:cs="Times New Roman"/>
          <w:color w:val="000000"/>
          <w:spacing w:val="0"/>
        </w:rPr>
      </w:pPr>
      <w:r w:rsidRPr="00960C35">
        <w:rPr>
          <w:rFonts w:eastAsia="Times New Roman" w:cs="Times New Roman"/>
          <w:color w:val="000000"/>
          <w:spacing w:val="0"/>
        </w:rPr>
        <w:t xml:space="preserve">Determining an appropriate period of debarment is an adjudicative decision that requires weighing the integrity and efficiency of the Federal service against the period of time necessary for the debarred individual to demonstrate </w:t>
      </w:r>
      <w:r w:rsidR="005D1B3D">
        <w:rPr>
          <w:rFonts w:eastAsia="Times New Roman" w:cs="Times New Roman"/>
          <w:color w:val="000000"/>
          <w:spacing w:val="0"/>
        </w:rPr>
        <w:t>rehabilitation from the conduct of concern</w:t>
      </w:r>
      <w:r w:rsidRPr="00960C35">
        <w:rPr>
          <w:rFonts w:eastAsia="Times New Roman" w:cs="Times New Roman"/>
          <w:color w:val="000000"/>
          <w:spacing w:val="0"/>
        </w:rPr>
        <w:t xml:space="preserve">. </w:t>
      </w:r>
      <w:bookmarkStart w:id="160" w:name="_Toc208884553"/>
      <w:r w:rsidR="005D1B3D">
        <w:rPr>
          <w:rFonts w:eastAsia="Times New Roman" w:cs="Times New Roman"/>
          <w:color w:val="000000"/>
          <w:spacing w:val="0"/>
        </w:rPr>
        <w:t>The agency can determine the appropriate length of debarment, up to three years, but must be consistent in how debarments are applied across cases.</w:t>
      </w:r>
    </w:p>
    <w:p w14:paraId="07D5648E" w14:textId="77777777" w:rsidR="005D1B3D" w:rsidRDefault="005D1B3D" w:rsidP="00861E1C">
      <w:pPr>
        <w:spacing w:after="0"/>
        <w:textAlignment w:val="baseline"/>
        <w:rPr>
          <w:rFonts w:eastAsia="Times New Roman" w:cs="Times New Roman"/>
          <w:color w:val="000000"/>
          <w:spacing w:val="0"/>
        </w:rPr>
      </w:pPr>
    </w:p>
    <w:p w14:paraId="542D0FDE" w14:textId="73C89817" w:rsidR="003C5B98" w:rsidRPr="005D1B3D" w:rsidRDefault="005D1B3D" w:rsidP="00A45805">
      <w:pPr>
        <w:pStyle w:val="Heading3"/>
        <w:rPr>
          <w:rFonts w:ascii="Arial" w:eastAsia="Times New Roman" w:hAnsi="Arial" w:cs="Arial"/>
          <w:color w:val="000000"/>
          <w:spacing w:val="0"/>
          <w:kern w:val="28"/>
        </w:rPr>
      </w:pPr>
      <w:bookmarkStart w:id="161" w:name="_Toc187052999"/>
      <w:bookmarkStart w:id="162" w:name="_Toc187924180"/>
      <w:r w:rsidRPr="548D0660">
        <w:rPr>
          <w:rStyle w:val="normaltextrun"/>
          <w:shd w:val="clear" w:color="auto" w:fill="FFFFFF"/>
        </w:rPr>
        <w:t>5.7.</w:t>
      </w:r>
      <w:r w:rsidR="00C831A5" w:rsidRPr="00A45805">
        <w:rPr>
          <w:rStyle w:val="normaltextrun"/>
          <w:shd w:val="clear" w:color="auto" w:fill="FFFFFF"/>
        </w:rPr>
        <w:t>4</w:t>
      </w:r>
      <w:r w:rsidRPr="548D0660">
        <w:rPr>
          <w:rStyle w:val="normaltextrun"/>
          <w:shd w:val="clear" w:color="auto" w:fill="FFFFFF"/>
        </w:rPr>
        <w:t xml:space="preserve"> – Introduction of New Information at Final Decision is Prohibited</w:t>
      </w:r>
      <w:bookmarkEnd w:id="161"/>
      <w:bookmarkEnd w:id="162"/>
      <w:r w:rsidRPr="548D0660">
        <w:rPr>
          <w:rStyle w:val="eop"/>
          <w:shd w:val="clear" w:color="auto" w:fill="FFFFFF"/>
        </w:rPr>
        <w:t> </w:t>
      </w:r>
      <w:bookmarkEnd w:id="160"/>
    </w:p>
    <w:p w14:paraId="5FC6905D" w14:textId="6548444C" w:rsidR="003C5B98" w:rsidRPr="009039C0" w:rsidRDefault="005D1B3D" w:rsidP="00861E1C">
      <w:pPr>
        <w:spacing w:after="0"/>
        <w:rPr>
          <w:rFonts w:eastAsia="Times New Roman" w:cs="Times New Roman"/>
          <w:spacing w:val="0"/>
        </w:rPr>
      </w:pPr>
      <w:r w:rsidRPr="009039C0">
        <w:rPr>
          <w:rFonts w:eastAsia="Times New Roman" w:cs="Times New Roman"/>
          <w:spacing w:val="0"/>
        </w:rPr>
        <w:t xml:space="preserve">New and material information must not be introduced at the final decision stage. </w:t>
      </w:r>
      <w:r w:rsidR="003C5B98" w:rsidRPr="009039C0">
        <w:rPr>
          <w:rFonts w:eastAsia="Times New Roman" w:cs="Times New Roman"/>
          <w:spacing w:val="0"/>
        </w:rPr>
        <w:fldChar w:fldCharType="begin"/>
      </w:r>
      <w:r w:rsidR="003C5B98" w:rsidRPr="009039C0">
        <w:rPr>
          <w:rFonts w:eastAsia="Times New Roman" w:cs="Times New Roman"/>
          <w:spacing w:val="0"/>
        </w:rPr>
        <w:instrText xml:space="preserve"> XE "Final Decision Letter" </w:instrText>
      </w:r>
      <w:r w:rsidR="003C5B98" w:rsidRPr="009039C0">
        <w:rPr>
          <w:rFonts w:eastAsia="Times New Roman" w:cs="Times New Roman"/>
          <w:spacing w:val="0"/>
        </w:rPr>
        <w:fldChar w:fldCharType="end"/>
      </w:r>
      <w:r w:rsidR="003C5B98" w:rsidRPr="009039C0">
        <w:rPr>
          <w:rFonts w:eastAsia="Times New Roman" w:cs="Times New Roman"/>
          <w:spacing w:val="0"/>
        </w:rPr>
        <w:fldChar w:fldCharType="begin"/>
      </w:r>
      <w:r w:rsidR="003C5B98" w:rsidRPr="009039C0">
        <w:rPr>
          <w:rFonts w:eastAsia="Times New Roman" w:cs="Times New Roman"/>
          <w:spacing w:val="0"/>
        </w:rPr>
        <w:instrText xml:space="preserve"> XE "Proposed Action Letter" </w:instrText>
      </w:r>
      <w:r w:rsidR="003C5B98" w:rsidRPr="009039C0">
        <w:rPr>
          <w:rFonts w:eastAsia="Times New Roman" w:cs="Times New Roman"/>
          <w:spacing w:val="0"/>
        </w:rPr>
        <w:fldChar w:fldCharType="end"/>
      </w:r>
      <w:r w:rsidR="003C5B98" w:rsidRPr="009039C0">
        <w:rPr>
          <w:rFonts w:eastAsia="Times New Roman" w:cs="Times New Roman"/>
          <w:spacing w:val="0"/>
        </w:rPr>
        <w:t>Issues</w:t>
      </w:r>
      <w:r w:rsidR="003C5B98" w:rsidRPr="009039C0">
        <w:rPr>
          <w:rFonts w:eastAsia="Times New Roman" w:cs="Times New Roman"/>
          <w:spacing w:val="0"/>
        </w:rPr>
        <w:fldChar w:fldCharType="begin"/>
      </w:r>
      <w:r w:rsidR="003C5B98" w:rsidRPr="009039C0">
        <w:rPr>
          <w:rFonts w:eastAsia="Times New Roman" w:cs="Times New Roman"/>
          <w:spacing w:val="0"/>
        </w:rPr>
        <w:instrText xml:space="preserve"> XE "Issues" \t "</w:instrText>
      </w:r>
      <w:r w:rsidR="003C5B98" w:rsidRPr="009039C0">
        <w:rPr>
          <w:rFonts w:eastAsia="Times New Roman" w:cs="Times New Roman"/>
          <w:b/>
          <w:i/>
          <w:spacing w:val="0"/>
        </w:rPr>
        <w:instrText>See</w:instrText>
      </w:r>
      <w:r w:rsidR="003C5B98" w:rsidRPr="009039C0">
        <w:rPr>
          <w:rFonts w:eastAsia="Times New Roman" w:cs="Times New Roman"/>
          <w:spacing w:val="0"/>
        </w:rPr>
        <w:instrText xml:space="preserve"> also Adjudicative Standard" </w:instrText>
      </w:r>
      <w:r w:rsidR="003C5B98" w:rsidRPr="009039C0">
        <w:rPr>
          <w:rFonts w:eastAsia="Times New Roman" w:cs="Times New Roman"/>
          <w:spacing w:val="0"/>
        </w:rPr>
        <w:fldChar w:fldCharType="end"/>
      </w:r>
      <w:r w:rsidR="003C5B98" w:rsidRPr="009039C0">
        <w:rPr>
          <w:rFonts w:eastAsia="Times New Roman" w:cs="Times New Roman"/>
          <w:spacing w:val="0"/>
        </w:rPr>
        <w:fldChar w:fldCharType="begin"/>
      </w:r>
      <w:r w:rsidR="003C5B98" w:rsidRPr="009039C0">
        <w:rPr>
          <w:rFonts w:eastAsia="Times New Roman" w:cs="Times New Roman"/>
          <w:spacing w:val="0"/>
        </w:rPr>
        <w:instrText xml:space="preserve"> XE "Issues" </w:instrText>
      </w:r>
      <w:r w:rsidR="003C5B98" w:rsidRPr="009039C0">
        <w:rPr>
          <w:rFonts w:eastAsia="Times New Roman" w:cs="Times New Roman"/>
          <w:spacing w:val="0"/>
        </w:rPr>
        <w:fldChar w:fldCharType="end"/>
      </w:r>
      <w:r w:rsidR="003C5B98" w:rsidRPr="009039C0">
        <w:rPr>
          <w:rFonts w:eastAsia="Times New Roman" w:cs="Times New Roman"/>
          <w:spacing w:val="0"/>
        </w:rPr>
        <w:t xml:space="preserve"> cannot be used as a basis for a final unfavorable suitability determination unless the subject has had an opportunity to answer to them. </w:t>
      </w:r>
      <w:r w:rsidRPr="009039C0">
        <w:rPr>
          <w:rFonts w:eastAsia="Times New Roman" w:cs="Times New Roman"/>
          <w:spacing w:val="0"/>
        </w:rPr>
        <w:t>It is acceptable to ma</w:t>
      </w:r>
      <w:r w:rsidR="00936375">
        <w:rPr>
          <w:rFonts w:eastAsia="Times New Roman" w:cs="Times New Roman"/>
          <w:spacing w:val="0"/>
        </w:rPr>
        <w:t>k</w:t>
      </w:r>
      <w:r w:rsidRPr="009039C0">
        <w:rPr>
          <w:rFonts w:eastAsia="Times New Roman" w:cs="Times New Roman"/>
          <w:spacing w:val="0"/>
        </w:rPr>
        <w:t xml:space="preserve">e new points in response to the individual’s answer to charges, but adjudicators must not introduce new evidence at this stage without allowing the individual a chance to </w:t>
      </w:r>
      <w:r w:rsidR="009039C0" w:rsidRPr="009039C0">
        <w:rPr>
          <w:rFonts w:eastAsia="Times New Roman" w:cs="Times New Roman"/>
          <w:spacing w:val="0"/>
        </w:rPr>
        <w:t>respond</w:t>
      </w:r>
      <w:r w:rsidR="001545B2" w:rsidRPr="009039C0">
        <w:rPr>
          <w:rFonts w:eastAsia="Times New Roman" w:cs="Times New Roman"/>
          <w:spacing w:val="0"/>
        </w:rPr>
        <w:t>.</w:t>
      </w:r>
    </w:p>
    <w:p w14:paraId="5F9D1C05" w14:textId="77777777" w:rsidR="003C5B98" w:rsidRPr="00960C35" w:rsidRDefault="003C5B98" w:rsidP="00861E1C">
      <w:pPr>
        <w:spacing w:after="0"/>
        <w:rPr>
          <w:rFonts w:ascii="Times New Roman" w:eastAsia="Times New Roman" w:hAnsi="Times New Roman" w:cs="Times New Roman"/>
          <w:spacing w:val="0"/>
          <w:sz w:val="23"/>
          <w:szCs w:val="20"/>
        </w:rPr>
      </w:pPr>
    </w:p>
    <w:p w14:paraId="6B4607FF" w14:textId="32FAE710" w:rsidR="003C5B98" w:rsidRPr="00960C35" w:rsidRDefault="005D1B3D" w:rsidP="00A45805">
      <w:pPr>
        <w:pStyle w:val="Heading3"/>
        <w:rPr>
          <w:rFonts w:ascii="CG Times" w:eastAsia="Times New Roman" w:hAnsi="CG Times" w:cs="Times New Roman"/>
          <w:spacing w:val="0"/>
          <w:sz w:val="23"/>
          <w:szCs w:val="23"/>
        </w:rPr>
      </w:pPr>
      <w:bookmarkStart w:id="163" w:name="_Toc187053000"/>
      <w:bookmarkStart w:id="164" w:name="_Toc187924181"/>
      <w:r w:rsidRPr="548D0660">
        <w:rPr>
          <w:rStyle w:val="normaltextrun"/>
          <w:shd w:val="clear" w:color="auto" w:fill="FFFFFF"/>
        </w:rPr>
        <w:t>5.7.</w:t>
      </w:r>
      <w:r w:rsidR="00C831A5" w:rsidRPr="000D57B2">
        <w:rPr>
          <w:rStyle w:val="normaltextrun"/>
          <w:shd w:val="clear" w:color="auto" w:fill="FFFFFF"/>
        </w:rPr>
        <w:t>5</w:t>
      </w:r>
      <w:r w:rsidRPr="548D0660">
        <w:rPr>
          <w:rStyle w:val="normaltextrun"/>
          <w:shd w:val="clear" w:color="auto" w:fill="FFFFFF"/>
        </w:rPr>
        <w:t xml:space="preserve"> – Decision</w:t>
      </w:r>
      <w:r w:rsidR="02C39070" w:rsidRPr="548D0660">
        <w:rPr>
          <w:rStyle w:val="normaltextrun"/>
          <w:shd w:val="clear" w:color="auto" w:fill="FFFFFF"/>
        </w:rPr>
        <w:t xml:space="preserve"> M</w:t>
      </w:r>
      <w:r w:rsidRPr="548D0660">
        <w:rPr>
          <w:rStyle w:val="normaltextrun"/>
          <w:shd w:val="clear" w:color="auto" w:fill="FFFFFF"/>
        </w:rPr>
        <w:t>aker</w:t>
      </w:r>
      <w:bookmarkEnd w:id="163"/>
      <w:bookmarkEnd w:id="164"/>
    </w:p>
    <w:p w14:paraId="6A7BAE2E" w14:textId="2A304054" w:rsidR="00FF323F" w:rsidRPr="00AA6297" w:rsidRDefault="003C5B98" w:rsidP="00AA6297">
      <w:pPr>
        <w:spacing w:after="0"/>
        <w:rPr>
          <w:rFonts w:eastAsia="Times New Roman" w:cs="Times New Roman"/>
          <w:spacing w:val="0"/>
        </w:rPr>
      </w:pPr>
      <w:r w:rsidRPr="001545B2">
        <w:rPr>
          <w:rFonts w:eastAsia="Times New Roman" w:cs="Times New Roman"/>
          <w:spacing w:val="0"/>
        </w:rPr>
        <w:t xml:space="preserve">To ensure fairness and an impartial decision, the final decision-maker should not be the same individual who proposed the action. </w:t>
      </w:r>
      <w:r w:rsidR="005D1B3D" w:rsidRPr="001545B2">
        <w:rPr>
          <w:rFonts w:eastAsia="Times New Roman" w:cs="Times New Roman"/>
          <w:spacing w:val="0"/>
        </w:rPr>
        <w:t xml:space="preserve">The decision-maker should independently review the case and be prepared to </w:t>
      </w:r>
      <w:r w:rsidR="00FF3361">
        <w:rPr>
          <w:rFonts w:eastAsia="Times New Roman" w:cs="Times New Roman"/>
          <w:spacing w:val="0"/>
        </w:rPr>
        <w:t>defend</w:t>
      </w:r>
      <w:r w:rsidR="00FF3361" w:rsidRPr="001545B2">
        <w:rPr>
          <w:rFonts w:eastAsia="Times New Roman" w:cs="Times New Roman"/>
          <w:spacing w:val="0"/>
        </w:rPr>
        <w:t xml:space="preserve"> </w:t>
      </w:r>
      <w:r w:rsidR="005D1B3D" w:rsidRPr="001545B2">
        <w:rPr>
          <w:rFonts w:eastAsia="Times New Roman" w:cs="Times New Roman"/>
          <w:spacing w:val="0"/>
        </w:rPr>
        <w:t>the decision in the event of an appeal to MSPB.</w:t>
      </w:r>
    </w:p>
    <w:p w14:paraId="5F8A53FD" w14:textId="38414654" w:rsidR="005D1B3D" w:rsidRPr="00960C35" w:rsidRDefault="005D1B3D" w:rsidP="007D79A0">
      <w:pPr>
        <w:pStyle w:val="Heading3"/>
        <w:rPr>
          <w:rFonts w:ascii="CG Times" w:eastAsia="Times New Roman" w:hAnsi="CG Times" w:cs="Times New Roman"/>
          <w:spacing w:val="0"/>
          <w:sz w:val="23"/>
          <w:szCs w:val="23"/>
        </w:rPr>
      </w:pPr>
      <w:bookmarkStart w:id="165" w:name="_Toc187053001"/>
      <w:bookmarkStart w:id="166" w:name="_Toc187924182"/>
      <w:r w:rsidRPr="548D0660">
        <w:rPr>
          <w:rStyle w:val="normaltextrun"/>
          <w:shd w:val="clear" w:color="auto" w:fill="FFFFFF"/>
        </w:rPr>
        <w:t>5.7.</w:t>
      </w:r>
      <w:r w:rsidR="00C831A5" w:rsidRPr="007D79A0">
        <w:rPr>
          <w:rStyle w:val="normaltextrun"/>
          <w:shd w:val="clear" w:color="auto" w:fill="FFFFFF"/>
        </w:rPr>
        <w:t>6</w:t>
      </w:r>
      <w:r w:rsidRPr="548D0660">
        <w:rPr>
          <w:rStyle w:val="normaltextrun"/>
          <w:shd w:val="clear" w:color="auto" w:fill="FFFFFF"/>
        </w:rPr>
        <w:t xml:space="preserve"> – Decision Letters</w:t>
      </w:r>
      <w:bookmarkEnd w:id="165"/>
      <w:bookmarkEnd w:id="166"/>
    </w:p>
    <w:p w14:paraId="25D6069C" w14:textId="3426474C" w:rsidR="00FF323F" w:rsidRPr="001545B2" w:rsidRDefault="00936A16" w:rsidP="00153F0B">
      <w:pPr>
        <w:widowControl w:val="0"/>
        <w:spacing w:after="120"/>
        <w:rPr>
          <w:rFonts w:eastAsia="Times New Roman" w:cs="Arial"/>
          <w:color w:val="000000"/>
          <w:spacing w:val="0"/>
          <w:kern w:val="28"/>
        </w:rPr>
      </w:pPr>
      <w:r w:rsidRPr="001545B2">
        <w:rPr>
          <w:rFonts w:eastAsia="Times New Roman" w:cs="Arial"/>
          <w:b/>
          <w:color w:val="000000"/>
          <w:spacing w:val="0"/>
          <w:kern w:val="28"/>
        </w:rPr>
        <w:t>OPM or Agency</w:t>
      </w:r>
      <w:r w:rsidR="00FF323F" w:rsidRPr="001545B2">
        <w:rPr>
          <w:rFonts w:eastAsia="Times New Roman" w:cs="Arial"/>
          <w:b/>
          <w:color w:val="000000"/>
          <w:spacing w:val="0"/>
          <w:kern w:val="28"/>
        </w:rPr>
        <w:t xml:space="preserve"> Notice of Final Decision. </w:t>
      </w:r>
      <w:r w:rsidR="001545B2" w:rsidRPr="001545B2">
        <w:rPr>
          <w:rFonts w:eastAsia="Times New Roman" w:cs="Arial"/>
          <w:color w:val="000000"/>
          <w:spacing w:val="0"/>
          <w:kern w:val="28"/>
        </w:rPr>
        <w:t>After considering</w:t>
      </w:r>
      <w:r w:rsidR="00FF323F" w:rsidRPr="001545B2">
        <w:rPr>
          <w:rFonts w:eastAsia="Times New Roman" w:cs="Arial"/>
          <w:color w:val="000000"/>
          <w:spacing w:val="0"/>
          <w:kern w:val="28"/>
        </w:rPr>
        <w:t xml:space="preserve"> the respondent’s answer, if any, and if the decision is to take a suitability action, a decision letter to the respondent will be </w:t>
      </w:r>
      <w:r w:rsidR="00FF323F" w:rsidRPr="001545B2">
        <w:rPr>
          <w:rFonts w:eastAsia="Times New Roman" w:cs="Arial"/>
          <w:color w:val="000000"/>
          <w:spacing w:val="0"/>
          <w:kern w:val="28"/>
        </w:rPr>
        <w:lastRenderedPageBreak/>
        <w:t>prepared. The decision letter must be in writing, dated, and contain the following:</w:t>
      </w:r>
    </w:p>
    <w:p w14:paraId="1EC857BB" w14:textId="05BC7CA0" w:rsidR="00FF323F" w:rsidRPr="001545B2" w:rsidRDefault="00FF323F" w:rsidP="00AA6297">
      <w:pPr>
        <w:pStyle w:val="ListParagraph"/>
        <w:widowControl w:val="0"/>
        <w:numPr>
          <w:ilvl w:val="0"/>
          <w:numId w:val="73"/>
        </w:numPr>
        <w:spacing w:after="0"/>
        <w:ind w:left="720"/>
        <w:contextualSpacing w:val="0"/>
        <w:rPr>
          <w:rFonts w:eastAsia="Times New Roman" w:cs="Arial"/>
          <w:color w:val="000000"/>
          <w:spacing w:val="0"/>
          <w:kern w:val="28"/>
        </w:rPr>
      </w:pPr>
      <w:r w:rsidRPr="001545B2">
        <w:rPr>
          <w:rFonts w:eastAsia="Times New Roman" w:cs="Arial"/>
          <w:color w:val="000000"/>
          <w:spacing w:val="0"/>
          <w:kern w:val="28"/>
        </w:rPr>
        <w:t>The action(s) being taken;</w:t>
      </w:r>
    </w:p>
    <w:p w14:paraId="06DA583C" w14:textId="0898DD7F" w:rsidR="00FF323F" w:rsidRPr="001545B2" w:rsidRDefault="00FF323F" w:rsidP="00AA6297">
      <w:pPr>
        <w:pStyle w:val="ListParagraph"/>
        <w:widowControl w:val="0"/>
        <w:numPr>
          <w:ilvl w:val="0"/>
          <w:numId w:val="73"/>
        </w:numPr>
        <w:spacing w:after="0"/>
        <w:ind w:left="720"/>
        <w:contextualSpacing w:val="0"/>
        <w:rPr>
          <w:rFonts w:eastAsia="Times New Roman" w:cs="Arial"/>
          <w:color w:val="000000"/>
          <w:spacing w:val="0"/>
          <w:kern w:val="28"/>
        </w:rPr>
      </w:pPr>
      <w:r w:rsidRPr="001545B2">
        <w:rPr>
          <w:rFonts w:eastAsia="Times New Roman" w:cs="Arial"/>
          <w:color w:val="000000"/>
          <w:spacing w:val="0"/>
          <w:kern w:val="28"/>
        </w:rPr>
        <w:t>The reasons for the decision (i.e., summary of the subject’s answer and any additional comments necessary to address the consideration of it), including the authority and the applicable specific factors and additional considerations; and,</w:t>
      </w:r>
    </w:p>
    <w:p w14:paraId="0177AB3A" w14:textId="491DAA6F" w:rsidR="00FF323F" w:rsidRPr="001545B2" w:rsidRDefault="00FF323F" w:rsidP="00D87CA4">
      <w:pPr>
        <w:pStyle w:val="ListParagraph"/>
        <w:widowControl w:val="0"/>
        <w:numPr>
          <w:ilvl w:val="0"/>
          <w:numId w:val="73"/>
        </w:numPr>
        <w:spacing w:after="120"/>
        <w:ind w:left="720"/>
        <w:contextualSpacing w:val="0"/>
        <w:rPr>
          <w:rFonts w:eastAsia="Times New Roman" w:cs="Arial"/>
          <w:color w:val="000000"/>
          <w:spacing w:val="0"/>
          <w:kern w:val="28"/>
        </w:rPr>
      </w:pPr>
      <w:r w:rsidRPr="001545B2">
        <w:rPr>
          <w:rFonts w:eastAsia="Times New Roman" w:cs="Arial"/>
          <w:color w:val="000000"/>
          <w:spacing w:val="0"/>
          <w:kern w:val="28"/>
        </w:rPr>
        <w:t>The respondent’s right to appeal the decision to the MSPB.</w:t>
      </w:r>
    </w:p>
    <w:p w14:paraId="3121E3FF" w14:textId="5A51EE5E" w:rsidR="00FF323F" w:rsidRPr="001545B2" w:rsidRDefault="00FF323F" w:rsidP="00153F0B">
      <w:pPr>
        <w:widowControl w:val="0"/>
        <w:spacing w:after="120"/>
        <w:rPr>
          <w:rFonts w:eastAsia="Times New Roman" w:cs="Arial"/>
          <w:color w:val="000000"/>
          <w:spacing w:val="0"/>
          <w:kern w:val="28"/>
        </w:rPr>
      </w:pPr>
      <w:r w:rsidRPr="001545B2">
        <w:rPr>
          <w:rFonts w:eastAsia="Times New Roman" w:cs="Arial"/>
          <w:color w:val="000000"/>
          <w:spacing w:val="0"/>
          <w:kern w:val="28"/>
        </w:rPr>
        <w:t>Because the decision can be appealed to the M</w:t>
      </w:r>
      <w:r w:rsidR="00936A16" w:rsidRPr="001545B2">
        <w:rPr>
          <w:rFonts w:eastAsia="Times New Roman" w:cs="Arial"/>
          <w:color w:val="000000"/>
          <w:spacing w:val="0"/>
          <w:kern w:val="28"/>
        </w:rPr>
        <w:t>erit Systems Protection Board (M</w:t>
      </w:r>
      <w:r w:rsidRPr="001545B2">
        <w:rPr>
          <w:rFonts w:eastAsia="Times New Roman" w:cs="Arial"/>
          <w:color w:val="000000"/>
          <w:spacing w:val="0"/>
          <w:kern w:val="28"/>
        </w:rPr>
        <w:t>SPB</w:t>
      </w:r>
      <w:r w:rsidR="00936A16" w:rsidRPr="001545B2">
        <w:rPr>
          <w:rFonts w:eastAsia="Times New Roman" w:cs="Arial"/>
          <w:color w:val="000000"/>
          <w:spacing w:val="0"/>
          <w:kern w:val="28"/>
        </w:rPr>
        <w:t>)</w:t>
      </w:r>
      <w:r w:rsidRPr="001545B2">
        <w:rPr>
          <w:rFonts w:eastAsia="Times New Roman" w:cs="Arial"/>
          <w:color w:val="000000"/>
          <w:spacing w:val="0"/>
          <w:kern w:val="28"/>
        </w:rPr>
        <w:t>, the MSPB’s regulations (5 C</w:t>
      </w:r>
      <w:r w:rsidR="008A779F">
        <w:rPr>
          <w:rFonts w:eastAsia="Times New Roman" w:cs="Arial"/>
          <w:color w:val="000000"/>
          <w:spacing w:val="0"/>
          <w:kern w:val="28"/>
        </w:rPr>
        <w:t>.</w:t>
      </w:r>
      <w:r w:rsidRPr="001545B2">
        <w:rPr>
          <w:rFonts w:eastAsia="Times New Roman" w:cs="Arial"/>
          <w:color w:val="000000"/>
          <w:spacing w:val="0"/>
          <w:kern w:val="28"/>
        </w:rPr>
        <w:t>F</w:t>
      </w:r>
      <w:r w:rsidR="008A779F">
        <w:rPr>
          <w:rFonts w:eastAsia="Times New Roman" w:cs="Arial"/>
          <w:color w:val="000000"/>
          <w:spacing w:val="0"/>
          <w:kern w:val="28"/>
        </w:rPr>
        <w:t>.</w:t>
      </w:r>
      <w:r w:rsidRPr="001545B2">
        <w:rPr>
          <w:rFonts w:eastAsia="Times New Roman" w:cs="Arial"/>
          <w:color w:val="000000"/>
          <w:spacing w:val="0"/>
          <w:kern w:val="28"/>
        </w:rPr>
        <w:t>R</w:t>
      </w:r>
      <w:r w:rsidR="008A779F">
        <w:rPr>
          <w:rFonts w:eastAsia="Times New Roman" w:cs="Arial"/>
          <w:color w:val="000000"/>
          <w:spacing w:val="0"/>
          <w:kern w:val="28"/>
        </w:rPr>
        <w:t>. part</w:t>
      </w:r>
      <w:r w:rsidR="28C22A36" w:rsidRPr="548D0660">
        <w:rPr>
          <w:rFonts w:eastAsia="Times New Roman" w:cs="Times New Roman"/>
          <w:color w:val="000000" w:themeColor="text1"/>
        </w:rPr>
        <w:t xml:space="preserve"> </w:t>
      </w:r>
      <w:r w:rsidRPr="001545B2">
        <w:rPr>
          <w:rFonts w:eastAsia="Times New Roman" w:cs="Arial"/>
          <w:color w:val="000000"/>
          <w:spacing w:val="0"/>
          <w:kern w:val="28"/>
        </w:rPr>
        <w:t xml:space="preserve">1201) require the following to also be included: </w:t>
      </w:r>
    </w:p>
    <w:p w14:paraId="7C346AB3" w14:textId="3D38206B" w:rsidR="00FF323F" w:rsidRPr="001545B2" w:rsidRDefault="00FF323F" w:rsidP="00D87CA4">
      <w:pPr>
        <w:pStyle w:val="ListParagraph"/>
        <w:widowControl w:val="0"/>
        <w:numPr>
          <w:ilvl w:val="0"/>
          <w:numId w:val="74"/>
        </w:numPr>
        <w:spacing w:after="120"/>
        <w:ind w:left="720"/>
        <w:contextualSpacing w:val="0"/>
        <w:rPr>
          <w:rFonts w:eastAsia="Times New Roman" w:cs="Arial"/>
          <w:color w:val="000000"/>
          <w:spacing w:val="0"/>
          <w:kern w:val="28"/>
        </w:rPr>
      </w:pPr>
      <w:r w:rsidRPr="001545B2">
        <w:rPr>
          <w:rFonts w:eastAsia="Times New Roman" w:cs="Arial"/>
          <w:color w:val="000000"/>
          <w:spacing w:val="0"/>
          <w:kern w:val="28"/>
        </w:rPr>
        <w:t>The MSPB website address (</w:t>
      </w:r>
      <w:r w:rsidRPr="001545B2">
        <w:rPr>
          <w:rFonts w:eastAsia="Times New Roman" w:cs="Arial"/>
          <w:color w:val="0000FF"/>
          <w:spacing w:val="0"/>
          <w:kern w:val="28"/>
          <w:u w:val="single"/>
        </w:rPr>
        <w:t>www.mspb.gov</w:t>
      </w:r>
      <w:r w:rsidRPr="001545B2">
        <w:rPr>
          <w:rFonts w:eastAsia="Times New Roman" w:cs="Arial"/>
          <w:color w:val="000000"/>
          <w:spacing w:val="0"/>
          <w:kern w:val="28"/>
        </w:rPr>
        <w:t xml:space="preserve">) where the respondent can find an appeal form and a copy of the MSPB’s regulations; </w:t>
      </w:r>
    </w:p>
    <w:p w14:paraId="01EE56A8" w14:textId="751FC41A" w:rsidR="00FF323F" w:rsidRPr="001545B2" w:rsidRDefault="00FF323F" w:rsidP="00153F0B">
      <w:pPr>
        <w:widowControl w:val="0"/>
        <w:spacing w:after="120"/>
        <w:rPr>
          <w:rFonts w:eastAsia="Times New Roman" w:cs="Calibri"/>
          <w:color w:val="000000"/>
          <w:spacing w:val="0"/>
          <w:kern w:val="28"/>
        </w:rPr>
      </w:pPr>
      <w:r w:rsidRPr="001545B2">
        <w:rPr>
          <w:rFonts w:eastAsia="Times New Roman" w:cs="Arial"/>
          <w:color w:val="000000"/>
          <w:spacing w:val="0"/>
          <w:kern w:val="28"/>
        </w:rPr>
        <w:t>The name, title, and contact information for the agency official to whom the Board should send the Acknowledgment Order</w:t>
      </w:r>
      <w:r w:rsidRPr="001545B2">
        <w:rPr>
          <w:rFonts w:eastAsia="Times New Roman" w:cs="Calibri"/>
          <w:color w:val="000000"/>
          <w:spacing w:val="0"/>
          <w:kern w:val="28"/>
        </w:rPr>
        <w:t> </w:t>
      </w:r>
      <w:r w:rsidRPr="001545B2">
        <w:rPr>
          <w:rFonts w:eastAsia="Times New Roman" w:cs="Arial"/>
          <w:color w:val="000000"/>
          <w:spacing w:val="0"/>
          <w:kern w:val="28"/>
        </w:rPr>
        <w:t>and copy of the appeal; and the address of the appropriate MSPB regional or field office to which an appeal can be sent. The area where the respondent lives is used to determine the location of the appropriate MSPB office.</w:t>
      </w:r>
    </w:p>
    <w:p w14:paraId="63D247D5" w14:textId="18209515" w:rsidR="00960C35" w:rsidRPr="001545B2" w:rsidRDefault="00936A16" w:rsidP="00153F0B">
      <w:pPr>
        <w:spacing w:after="0"/>
        <w:rPr>
          <w:rFonts w:eastAsia="Times New Roman" w:cs="Times New Roman"/>
          <w:spacing w:val="0"/>
        </w:rPr>
      </w:pPr>
      <w:r w:rsidRPr="001545B2">
        <w:rPr>
          <w:rFonts w:eastAsia="Times New Roman" w:cs="Times New Roman"/>
          <w:spacing w:val="0"/>
        </w:rPr>
        <w:t xml:space="preserve">The notice may be hand-delivered, </w:t>
      </w:r>
      <w:r w:rsidR="00BF01A9" w:rsidRPr="001545B2">
        <w:rPr>
          <w:rFonts w:eastAsia="Times New Roman" w:cs="Times New Roman"/>
          <w:spacing w:val="0"/>
        </w:rPr>
        <w:t>mailed,</w:t>
      </w:r>
      <w:r w:rsidRPr="001545B2">
        <w:rPr>
          <w:rFonts w:eastAsia="Times New Roman" w:cs="Times New Roman"/>
          <w:spacing w:val="0"/>
        </w:rPr>
        <w:t xml:space="preserve"> or sent by secure email. For OPM actions against appointees or employees, OPM will coordinate delivery with the employing agency</w:t>
      </w:r>
      <w:r w:rsidR="00D43B0F" w:rsidRPr="001545B2">
        <w:rPr>
          <w:rFonts w:eastAsia="Times New Roman" w:cs="Times New Roman"/>
          <w:spacing w:val="0"/>
        </w:rPr>
        <w:t xml:space="preserve"> and if the agency is hand delivering, ask for a transmittal signed by the individual</w:t>
      </w:r>
      <w:r w:rsidRPr="001545B2">
        <w:rPr>
          <w:rFonts w:eastAsia="Times New Roman" w:cs="Times New Roman"/>
          <w:spacing w:val="0"/>
        </w:rPr>
        <w:t>. If the subject is separated</w:t>
      </w:r>
      <w:r w:rsidR="00D43B0F" w:rsidRPr="001545B2">
        <w:rPr>
          <w:rFonts w:eastAsia="Times New Roman" w:cs="Times New Roman"/>
          <w:spacing w:val="0"/>
        </w:rPr>
        <w:t xml:space="preserve"> as a result of the action</w:t>
      </w:r>
      <w:r w:rsidRPr="001545B2">
        <w:rPr>
          <w:rFonts w:eastAsia="Times New Roman" w:cs="Times New Roman"/>
          <w:spacing w:val="0"/>
        </w:rPr>
        <w:t xml:space="preserve">, the agency </w:t>
      </w:r>
      <w:r w:rsidR="00D43B0F" w:rsidRPr="001545B2">
        <w:rPr>
          <w:rFonts w:eastAsia="Times New Roman" w:cs="Times New Roman"/>
          <w:spacing w:val="0"/>
        </w:rPr>
        <w:t>must</w:t>
      </w:r>
      <w:r w:rsidRPr="001545B2">
        <w:rPr>
          <w:rFonts w:eastAsia="Times New Roman" w:cs="Times New Roman"/>
          <w:spacing w:val="0"/>
        </w:rPr>
        <w:t xml:space="preserve"> provide a copy of the SF 50</w:t>
      </w:r>
      <w:r w:rsidR="00D43B0F" w:rsidRPr="001545B2">
        <w:rPr>
          <w:rFonts w:eastAsia="Times New Roman" w:cs="Times New Roman"/>
          <w:spacing w:val="0"/>
        </w:rPr>
        <w:t xml:space="preserve"> to OPM</w:t>
      </w:r>
      <w:r w:rsidRPr="001545B2">
        <w:rPr>
          <w:rFonts w:eastAsia="Times New Roman" w:cs="Times New Roman"/>
          <w:spacing w:val="0"/>
        </w:rPr>
        <w:t>.</w:t>
      </w:r>
    </w:p>
    <w:p w14:paraId="39128F62" w14:textId="77777777" w:rsidR="00960C35" w:rsidRPr="001545B2" w:rsidRDefault="00960C35" w:rsidP="00153F0B">
      <w:pPr>
        <w:spacing w:after="0"/>
        <w:ind w:firstLine="288"/>
        <w:rPr>
          <w:rFonts w:eastAsia="Times New Roman" w:cs="Times New Roman"/>
          <w:b/>
          <w:spacing w:val="0"/>
        </w:rPr>
      </w:pPr>
    </w:p>
    <w:p w14:paraId="181383B6" w14:textId="6EFE76B2" w:rsidR="00960C35" w:rsidRPr="001545B2" w:rsidRDefault="00960C35" w:rsidP="00937BC6">
      <w:pPr>
        <w:rPr>
          <w:rFonts w:eastAsia="Times New Roman" w:cs="Times New Roman"/>
          <w:spacing w:val="0"/>
        </w:rPr>
      </w:pPr>
      <w:r w:rsidRPr="001545B2">
        <w:rPr>
          <w:rFonts w:eastAsia="Times New Roman" w:cs="Times New Roman"/>
          <w:b/>
          <w:spacing w:val="0"/>
        </w:rPr>
        <w:t>Final Decision Distribution Process</w:t>
      </w:r>
      <w:r w:rsidR="003C5B98" w:rsidRPr="001545B2">
        <w:rPr>
          <w:rFonts w:eastAsia="Times New Roman" w:cs="Times New Roman"/>
          <w:b/>
          <w:spacing w:val="0"/>
        </w:rPr>
        <w:t>-OPM Action</w:t>
      </w:r>
      <w:r w:rsidRPr="001545B2">
        <w:rPr>
          <w:rFonts w:eastAsia="Times New Roman" w:cs="Times New Roman"/>
          <w:b/>
          <w:spacing w:val="0"/>
        </w:rPr>
        <w:t>.</w:t>
      </w:r>
      <w:r w:rsidRPr="001545B2">
        <w:rPr>
          <w:rFonts w:eastAsia="Times New Roman" w:cs="Times New Roman"/>
          <w:spacing w:val="0"/>
        </w:rPr>
        <w:t xml:space="preserve"> The following chart describes the distribution procedures:</w:t>
      </w:r>
    </w:p>
    <w:p w14:paraId="3FB0A02E" w14:textId="03C5BD0D" w:rsidR="00960C35" w:rsidRPr="00FB76CD" w:rsidRDefault="00A26CB4" w:rsidP="001D3451">
      <w:pPr>
        <w:pStyle w:val="Heading5"/>
      </w:pPr>
      <w:r w:rsidRPr="001D3451">
        <w:rPr>
          <w:rStyle w:val="Heading5Char"/>
          <w:b/>
        </w:rPr>
        <w:t xml:space="preserve">Table </w:t>
      </w:r>
      <w:r w:rsidRPr="00FB76CD">
        <w:t>2</w:t>
      </w:r>
      <w:r w:rsidR="004C3541">
        <w:t xml:space="preserve"> V</w:t>
      </w:r>
      <w:r w:rsidRPr="00FB76CD">
        <w:t>5</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5" w:type="dxa"/>
          <w:right w:w="55" w:type="dxa"/>
        </w:tblCellMar>
        <w:tblLook w:val="0000" w:firstRow="0" w:lastRow="0" w:firstColumn="0" w:lastColumn="0" w:noHBand="0" w:noVBand="0"/>
      </w:tblPr>
      <w:tblGrid>
        <w:gridCol w:w="1530"/>
        <w:gridCol w:w="3405"/>
        <w:gridCol w:w="4065"/>
      </w:tblGrid>
      <w:tr w:rsidR="00960C35" w:rsidRPr="00960C35" w14:paraId="39218566" w14:textId="77777777" w:rsidTr="00AF303C">
        <w:trPr>
          <w:trHeight w:val="720"/>
          <w:tblHeader/>
          <w:jc w:val="center"/>
        </w:trPr>
        <w:tc>
          <w:tcPr>
            <w:tcW w:w="1530" w:type="dxa"/>
            <w:tcBorders>
              <w:top w:val="single" w:sz="12" w:space="0" w:color="auto"/>
              <w:bottom w:val="single" w:sz="12" w:space="0" w:color="auto"/>
            </w:tcBorders>
            <w:shd w:val="pct25" w:color="auto" w:fill="FFFFFF"/>
            <w:vAlign w:val="center"/>
          </w:tcPr>
          <w:p w14:paraId="24D4557A" w14:textId="3CA421DC" w:rsidR="00960C35" w:rsidRPr="001B7158" w:rsidRDefault="00960C35" w:rsidP="00960C35">
            <w:pPr>
              <w:spacing w:after="0" w:line="240" w:lineRule="auto"/>
              <w:jc w:val="center"/>
              <w:rPr>
                <w:rFonts w:eastAsia="Times New Roman" w:cs="Times New Roman"/>
                <w:b/>
                <w:spacing w:val="0"/>
              </w:rPr>
            </w:pPr>
            <w:r w:rsidRPr="00BF01A9">
              <w:rPr>
                <w:rFonts w:eastAsia="Times New Roman" w:cs="Times New Roman"/>
                <w:b/>
                <w:spacing w:val="0"/>
              </w:rPr>
              <w:t>TYPE OF CASE</w:t>
            </w:r>
          </w:p>
        </w:tc>
        <w:tc>
          <w:tcPr>
            <w:tcW w:w="3405" w:type="dxa"/>
            <w:tcBorders>
              <w:top w:val="single" w:sz="12" w:space="0" w:color="auto"/>
              <w:bottom w:val="single" w:sz="12" w:space="0" w:color="auto"/>
            </w:tcBorders>
            <w:shd w:val="pct25" w:color="auto" w:fill="FFFFFF"/>
            <w:vAlign w:val="center"/>
          </w:tcPr>
          <w:p w14:paraId="2B595F6A" w14:textId="3CB58768" w:rsidR="00960C35" w:rsidRPr="00640C89" w:rsidRDefault="00960C35" w:rsidP="00960C35">
            <w:pPr>
              <w:spacing w:after="0" w:line="240" w:lineRule="auto"/>
              <w:jc w:val="center"/>
              <w:rPr>
                <w:rFonts w:eastAsia="Times New Roman" w:cs="Times New Roman"/>
                <w:b/>
                <w:spacing w:val="0"/>
              </w:rPr>
            </w:pPr>
            <w:r w:rsidRPr="001B7158">
              <w:rPr>
                <w:rFonts w:eastAsia="Times New Roman" w:cs="Times New Roman"/>
                <w:b/>
                <w:spacing w:val="0"/>
              </w:rPr>
              <w:t>RECIPIENT</w:t>
            </w:r>
          </w:p>
        </w:tc>
        <w:tc>
          <w:tcPr>
            <w:tcW w:w="4065" w:type="dxa"/>
            <w:tcBorders>
              <w:top w:val="single" w:sz="12" w:space="0" w:color="auto"/>
              <w:bottom w:val="single" w:sz="12" w:space="0" w:color="auto"/>
            </w:tcBorders>
            <w:shd w:val="pct25" w:color="auto" w:fill="FFFFFF"/>
            <w:vAlign w:val="center"/>
          </w:tcPr>
          <w:p w14:paraId="1CAD22EC" w14:textId="13B6F496" w:rsidR="00960C35" w:rsidRPr="001B7158" w:rsidRDefault="00960C35" w:rsidP="00960C35">
            <w:pPr>
              <w:spacing w:after="0" w:line="240" w:lineRule="auto"/>
              <w:jc w:val="center"/>
              <w:rPr>
                <w:rFonts w:eastAsia="Times New Roman" w:cs="Times New Roman"/>
                <w:b/>
                <w:spacing w:val="0"/>
              </w:rPr>
            </w:pPr>
            <w:r w:rsidRPr="00640C89">
              <w:rPr>
                <w:rFonts w:eastAsia="Times New Roman" w:cs="Times New Roman"/>
                <w:b/>
                <w:spacing w:val="0"/>
              </w:rPr>
              <w:t>ACTION REQUIRED OF RECIPIENT</w:t>
            </w:r>
          </w:p>
        </w:tc>
      </w:tr>
      <w:tr w:rsidR="00960C35" w:rsidRPr="00960C35" w14:paraId="76B4ED90" w14:textId="77777777" w:rsidTr="00AF303C">
        <w:trPr>
          <w:cantSplit/>
          <w:jc w:val="center"/>
        </w:trPr>
        <w:tc>
          <w:tcPr>
            <w:tcW w:w="1530" w:type="dxa"/>
            <w:vMerge w:val="restart"/>
            <w:tcBorders>
              <w:top w:val="nil"/>
            </w:tcBorders>
            <w:vAlign w:val="center"/>
          </w:tcPr>
          <w:p w14:paraId="75A42905" w14:textId="77777777" w:rsidR="00960C35" w:rsidRPr="001B7158" w:rsidRDefault="00960C35" w:rsidP="00960C35">
            <w:pPr>
              <w:spacing w:after="0" w:line="240" w:lineRule="auto"/>
              <w:jc w:val="center"/>
              <w:rPr>
                <w:rFonts w:eastAsia="Times New Roman" w:cs="Times New Roman"/>
                <w:b/>
                <w:spacing w:val="0"/>
              </w:rPr>
            </w:pPr>
            <w:r w:rsidRPr="001B7158">
              <w:rPr>
                <w:rFonts w:eastAsia="Times New Roman" w:cs="Times New Roman"/>
                <w:b/>
                <w:spacing w:val="0"/>
              </w:rPr>
              <w:t>Applicant</w:t>
            </w:r>
          </w:p>
        </w:tc>
        <w:tc>
          <w:tcPr>
            <w:tcW w:w="3405" w:type="dxa"/>
            <w:tcBorders>
              <w:top w:val="nil"/>
            </w:tcBorders>
          </w:tcPr>
          <w:p w14:paraId="35C69296" w14:textId="77777777" w:rsidR="00960C35" w:rsidRPr="001B7158" w:rsidRDefault="00960C35" w:rsidP="00960C35">
            <w:pPr>
              <w:spacing w:after="0" w:line="240" w:lineRule="auto"/>
              <w:rPr>
                <w:rFonts w:eastAsia="Times New Roman" w:cs="Times New Roman"/>
                <w:spacing w:val="0"/>
              </w:rPr>
            </w:pPr>
            <w:r w:rsidRPr="001B7158">
              <w:rPr>
                <w:rFonts w:eastAsia="Times New Roman" w:cs="Times New Roman"/>
                <w:spacing w:val="0"/>
              </w:rPr>
              <w:t>Applicant (original final decision letter)</w:t>
            </w:r>
          </w:p>
        </w:tc>
        <w:tc>
          <w:tcPr>
            <w:tcW w:w="4065" w:type="dxa"/>
            <w:tcBorders>
              <w:top w:val="nil"/>
            </w:tcBorders>
          </w:tcPr>
          <w:p w14:paraId="1DF26261" w14:textId="77777777" w:rsidR="00960C35" w:rsidRPr="001B7158" w:rsidRDefault="00960C35" w:rsidP="00960C35">
            <w:pPr>
              <w:spacing w:after="0" w:line="240" w:lineRule="auto"/>
              <w:rPr>
                <w:rFonts w:eastAsia="Times New Roman" w:cs="Times New Roman"/>
                <w:spacing w:val="0"/>
              </w:rPr>
            </w:pPr>
            <w:r w:rsidRPr="001B7158">
              <w:rPr>
                <w:rFonts w:eastAsia="Times New Roman" w:cs="Times New Roman"/>
                <w:spacing w:val="0"/>
              </w:rPr>
              <w:t>None.</w:t>
            </w:r>
          </w:p>
        </w:tc>
      </w:tr>
      <w:tr w:rsidR="00960C35" w:rsidRPr="00960C35" w14:paraId="7AA23C88" w14:textId="77777777" w:rsidTr="00AF303C">
        <w:trPr>
          <w:cantSplit/>
          <w:jc w:val="center"/>
        </w:trPr>
        <w:tc>
          <w:tcPr>
            <w:tcW w:w="1530" w:type="dxa"/>
            <w:vMerge/>
            <w:vAlign w:val="center"/>
          </w:tcPr>
          <w:p w14:paraId="160AB4B6" w14:textId="77777777" w:rsidR="00960C35" w:rsidRPr="001B7158" w:rsidRDefault="00960C35" w:rsidP="00960C35">
            <w:pPr>
              <w:spacing w:after="0" w:line="240" w:lineRule="auto"/>
              <w:jc w:val="center"/>
              <w:rPr>
                <w:rFonts w:eastAsia="Times New Roman" w:cs="Times New Roman"/>
                <w:b/>
                <w:spacing w:val="0"/>
              </w:rPr>
            </w:pPr>
          </w:p>
        </w:tc>
        <w:tc>
          <w:tcPr>
            <w:tcW w:w="3405" w:type="dxa"/>
          </w:tcPr>
          <w:p w14:paraId="33C36649" w14:textId="350413CE" w:rsidR="00960C35" w:rsidRPr="001B7158" w:rsidRDefault="00A26CB4" w:rsidP="00960C35">
            <w:pPr>
              <w:spacing w:after="0" w:line="240" w:lineRule="auto"/>
              <w:rPr>
                <w:rFonts w:eastAsia="Times New Roman" w:cs="Times New Roman"/>
                <w:spacing w:val="0"/>
              </w:rPr>
            </w:pPr>
            <w:r w:rsidRPr="001B7158">
              <w:rPr>
                <w:rFonts w:eastAsia="Times New Roman" w:cs="Times New Roman"/>
                <w:spacing w:val="0"/>
              </w:rPr>
              <w:t>Submitting office</w:t>
            </w:r>
            <w:r w:rsidR="00960C35" w:rsidRPr="001B7158">
              <w:rPr>
                <w:rFonts w:eastAsia="Times New Roman" w:cs="Times New Roman"/>
                <w:spacing w:val="0"/>
              </w:rPr>
              <w:t xml:space="preserve"> </w:t>
            </w:r>
          </w:p>
        </w:tc>
        <w:tc>
          <w:tcPr>
            <w:tcW w:w="4065" w:type="dxa"/>
          </w:tcPr>
          <w:p w14:paraId="6A37D2E3" w14:textId="77777777" w:rsidR="00960C35" w:rsidRPr="001B7158" w:rsidRDefault="00960C35" w:rsidP="00960C35">
            <w:pPr>
              <w:spacing w:after="0" w:line="240" w:lineRule="auto"/>
              <w:rPr>
                <w:rFonts w:eastAsia="Times New Roman" w:cs="Times New Roman"/>
                <w:spacing w:val="0"/>
              </w:rPr>
            </w:pPr>
            <w:r w:rsidRPr="001B7158">
              <w:rPr>
                <w:rFonts w:eastAsia="Times New Roman" w:cs="Times New Roman"/>
                <w:spacing w:val="0"/>
              </w:rPr>
              <w:t>Cancel application and maintain record of debarment.</w:t>
            </w:r>
          </w:p>
        </w:tc>
      </w:tr>
      <w:tr w:rsidR="00960C35" w:rsidRPr="00960C35" w14:paraId="7B51BE01" w14:textId="77777777" w:rsidTr="005A31C1">
        <w:trPr>
          <w:cantSplit/>
          <w:jc w:val="center"/>
        </w:trPr>
        <w:tc>
          <w:tcPr>
            <w:tcW w:w="1530" w:type="dxa"/>
            <w:vMerge/>
            <w:tcBorders>
              <w:bottom w:val="single" w:sz="12" w:space="0" w:color="auto"/>
            </w:tcBorders>
            <w:vAlign w:val="center"/>
          </w:tcPr>
          <w:p w14:paraId="3CF92717" w14:textId="77777777" w:rsidR="00960C35" w:rsidRPr="001B7158" w:rsidRDefault="00960C35" w:rsidP="00960C35">
            <w:pPr>
              <w:spacing w:after="0" w:line="240" w:lineRule="auto"/>
              <w:jc w:val="center"/>
              <w:rPr>
                <w:rFonts w:eastAsia="Times New Roman" w:cs="Times New Roman"/>
                <w:b/>
                <w:spacing w:val="0"/>
              </w:rPr>
            </w:pPr>
          </w:p>
        </w:tc>
        <w:tc>
          <w:tcPr>
            <w:tcW w:w="3405" w:type="dxa"/>
            <w:tcBorders>
              <w:bottom w:val="single" w:sz="12" w:space="0" w:color="auto"/>
            </w:tcBorders>
          </w:tcPr>
          <w:p w14:paraId="3D5D7698" w14:textId="44347A43" w:rsidR="00960C35" w:rsidRPr="001B7158" w:rsidRDefault="00960C35" w:rsidP="00960C35">
            <w:pPr>
              <w:spacing w:after="0" w:line="240" w:lineRule="auto"/>
              <w:rPr>
                <w:rFonts w:eastAsia="Times New Roman" w:cs="Times New Roman"/>
                <w:spacing w:val="0"/>
              </w:rPr>
            </w:pPr>
            <w:r w:rsidRPr="001B7158">
              <w:rPr>
                <w:rFonts w:eastAsia="Times New Roman" w:cs="Times New Roman"/>
                <w:spacing w:val="0"/>
              </w:rPr>
              <w:t>OPM</w:t>
            </w:r>
            <w:r w:rsidR="003C5B98" w:rsidRPr="001B7158">
              <w:rPr>
                <w:rFonts w:eastAsia="Times New Roman" w:cs="Times New Roman"/>
                <w:spacing w:val="0"/>
              </w:rPr>
              <w:t>-SuitEA</w:t>
            </w:r>
          </w:p>
        </w:tc>
        <w:tc>
          <w:tcPr>
            <w:tcW w:w="4065" w:type="dxa"/>
            <w:tcBorders>
              <w:bottom w:val="single" w:sz="12" w:space="0" w:color="auto"/>
            </w:tcBorders>
          </w:tcPr>
          <w:p w14:paraId="459B8BDF" w14:textId="4CC2A7A6" w:rsidR="00960C35" w:rsidRPr="001B7158" w:rsidRDefault="003C5B98" w:rsidP="00960C35">
            <w:pPr>
              <w:spacing w:after="0" w:line="240" w:lineRule="auto"/>
              <w:rPr>
                <w:rFonts w:eastAsia="Times New Roman" w:cs="Times New Roman"/>
                <w:spacing w:val="0"/>
              </w:rPr>
            </w:pPr>
            <w:r w:rsidRPr="001B7158">
              <w:rPr>
                <w:rFonts w:eastAsia="Times New Roman" w:cs="Times New Roman"/>
                <w:spacing w:val="0"/>
              </w:rPr>
              <w:t>Update government</w:t>
            </w:r>
            <w:r w:rsidR="00BB21FA">
              <w:rPr>
                <w:rFonts w:eastAsia="Times New Roman" w:cs="Times New Roman"/>
                <w:spacing w:val="0"/>
              </w:rPr>
              <w:t>-</w:t>
            </w:r>
            <w:r w:rsidRPr="001B7158">
              <w:rPr>
                <w:rFonts w:eastAsia="Times New Roman" w:cs="Times New Roman"/>
                <w:spacing w:val="0"/>
              </w:rPr>
              <w:t>wide repository</w:t>
            </w:r>
            <w:r w:rsidR="00960C35" w:rsidRPr="001B7158">
              <w:rPr>
                <w:rFonts w:eastAsia="Times New Roman" w:cs="Times New Roman"/>
                <w:spacing w:val="0"/>
              </w:rPr>
              <w:t xml:space="preserve"> and include all case documents in file.</w:t>
            </w:r>
          </w:p>
        </w:tc>
      </w:tr>
      <w:tr w:rsidR="00960C35" w:rsidRPr="00960C35" w14:paraId="07204AE6" w14:textId="77777777" w:rsidTr="00AF303C">
        <w:trPr>
          <w:cantSplit/>
          <w:jc w:val="center"/>
        </w:trPr>
        <w:tc>
          <w:tcPr>
            <w:tcW w:w="1530" w:type="dxa"/>
            <w:vMerge w:val="restart"/>
            <w:tcBorders>
              <w:top w:val="single" w:sz="12" w:space="0" w:color="auto"/>
              <w:bottom w:val="single" w:sz="6" w:space="0" w:color="auto"/>
            </w:tcBorders>
            <w:vAlign w:val="center"/>
          </w:tcPr>
          <w:p w14:paraId="09F31DF5" w14:textId="77777777" w:rsidR="00960C35" w:rsidRPr="001B7158" w:rsidRDefault="00960C35" w:rsidP="00960C35">
            <w:pPr>
              <w:spacing w:after="0" w:line="240" w:lineRule="auto"/>
              <w:jc w:val="center"/>
              <w:rPr>
                <w:rFonts w:eastAsia="Times New Roman" w:cs="Times New Roman"/>
                <w:b/>
                <w:spacing w:val="0"/>
              </w:rPr>
            </w:pPr>
            <w:r w:rsidRPr="001B7158">
              <w:rPr>
                <w:rFonts w:eastAsia="Times New Roman" w:cs="Times New Roman"/>
                <w:b/>
                <w:spacing w:val="0"/>
              </w:rPr>
              <w:t>Investigated Applicant</w:t>
            </w:r>
          </w:p>
        </w:tc>
        <w:tc>
          <w:tcPr>
            <w:tcW w:w="3405" w:type="dxa"/>
            <w:tcBorders>
              <w:top w:val="single" w:sz="12" w:space="0" w:color="auto"/>
              <w:bottom w:val="single" w:sz="6" w:space="0" w:color="auto"/>
            </w:tcBorders>
          </w:tcPr>
          <w:p w14:paraId="4ED10191" w14:textId="77777777" w:rsidR="00960C35" w:rsidRPr="001B7158" w:rsidRDefault="00960C35" w:rsidP="00960C35">
            <w:pPr>
              <w:spacing w:after="0" w:line="240" w:lineRule="auto"/>
              <w:rPr>
                <w:rFonts w:eastAsia="Times New Roman" w:cs="Times New Roman"/>
                <w:spacing w:val="0"/>
              </w:rPr>
            </w:pPr>
            <w:r w:rsidRPr="001B7158">
              <w:rPr>
                <w:rFonts w:eastAsia="Times New Roman" w:cs="Times New Roman"/>
                <w:spacing w:val="0"/>
              </w:rPr>
              <w:t>Applicant (original final decision letter)</w:t>
            </w:r>
          </w:p>
        </w:tc>
        <w:tc>
          <w:tcPr>
            <w:tcW w:w="4065" w:type="dxa"/>
            <w:tcBorders>
              <w:top w:val="single" w:sz="12" w:space="0" w:color="auto"/>
              <w:bottom w:val="single" w:sz="6" w:space="0" w:color="auto"/>
            </w:tcBorders>
          </w:tcPr>
          <w:p w14:paraId="4335EF0B" w14:textId="77777777" w:rsidR="00960C35" w:rsidRPr="001B7158" w:rsidRDefault="00960C35" w:rsidP="00960C35">
            <w:pPr>
              <w:spacing w:after="0" w:line="240" w:lineRule="auto"/>
              <w:rPr>
                <w:rFonts w:eastAsia="Times New Roman" w:cs="Times New Roman"/>
                <w:spacing w:val="0"/>
              </w:rPr>
            </w:pPr>
            <w:r w:rsidRPr="001B7158">
              <w:rPr>
                <w:rFonts w:eastAsia="Times New Roman" w:cs="Times New Roman"/>
                <w:spacing w:val="0"/>
              </w:rPr>
              <w:t>None.</w:t>
            </w:r>
          </w:p>
        </w:tc>
      </w:tr>
      <w:tr w:rsidR="00960C35" w:rsidRPr="00960C35" w14:paraId="0A35BC2B" w14:textId="77777777" w:rsidTr="005A31C1">
        <w:trPr>
          <w:cantSplit/>
          <w:jc w:val="center"/>
        </w:trPr>
        <w:tc>
          <w:tcPr>
            <w:tcW w:w="1530" w:type="dxa"/>
            <w:vMerge/>
            <w:tcBorders>
              <w:top w:val="single" w:sz="6" w:space="0" w:color="auto"/>
              <w:bottom w:val="single" w:sz="6" w:space="0" w:color="auto"/>
            </w:tcBorders>
            <w:vAlign w:val="center"/>
          </w:tcPr>
          <w:p w14:paraId="7CE5FB1F" w14:textId="77777777" w:rsidR="00960C35" w:rsidRPr="001B7158" w:rsidRDefault="00960C35" w:rsidP="00960C35">
            <w:pPr>
              <w:spacing w:after="0" w:line="240" w:lineRule="auto"/>
              <w:jc w:val="center"/>
              <w:rPr>
                <w:rFonts w:eastAsia="Times New Roman" w:cs="Times New Roman"/>
                <w:b/>
                <w:spacing w:val="0"/>
              </w:rPr>
            </w:pPr>
          </w:p>
        </w:tc>
        <w:tc>
          <w:tcPr>
            <w:tcW w:w="3405" w:type="dxa"/>
            <w:tcBorders>
              <w:top w:val="single" w:sz="6" w:space="0" w:color="auto"/>
              <w:bottom w:val="single" w:sz="6" w:space="0" w:color="auto"/>
            </w:tcBorders>
          </w:tcPr>
          <w:p w14:paraId="1DDFBC7D" w14:textId="77777777" w:rsidR="00960C35" w:rsidRPr="001B7158" w:rsidRDefault="00960C35" w:rsidP="00960C35">
            <w:pPr>
              <w:spacing w:after="0" w:line="240" w:lineRule="auto"/>
              <w:rPr>
                <w:rFonts w:eastAsia="Times New Roman" w:cs="Times New Roman"/>
                <w:spacing w:val="0"/>
              </w:rPr>
            </w:pPr>
            <w:r w:rsidRPr="001B7158">
              <w:rPr>
                <w:rFonts w:eastAsia="Times New Roman" w:cs="Times New Roman"/>
                <w:spacing w:val="0"/>
              </w:rPr>
              <w:t>Agency Personnel Security Office (copy of final decision letter, original agency notification)</w:t>
            </w:r>
          </w:p>
        </w:tc>
        <w:tc>
          <w:tcPr>
            <w:tcW w:w="4065" w:type="dxa"/>
            <w:tcBorders>
              <w:top w:val="single" w:sz="6" w:space="0" w:color="auto"/>
              <w:bottom w:val="single" w:sz="6" w:space="0" w:color="auto"/>
            </w:tcBorders>
          </w:tcPr>
          <w:p w14:paraId="2B4ED45D" w14:textId="77777777" w:rsidR="00960C35" w:rsidRPr="001B7158" w:rsidRDefault="00960C35" w:rsidP="00960C35">
            <w:pPr>
              <w:spacing w:after="0" w:line="240" w:lineRule="auto"/>
              <w:rPr>
                <w:rFonts w:eastAsia="Times New Roman" w:cs="Times New Roman"/>
                <w:spacing w:val="0"/>
              </w:rPr>
            </w:pPr>
            <w:r w:rsidRPr="001B7158">
              <w:rPr>
                <w:rFonts w:eastAsia="Times New Roman" w:cs="Times New Roman"/>
                <w:spacing w:val="0"/>
              </w:rPr>
              <w:t>Discontinue consideration.</w:t>
            </w:r>
          </w:p>
        </w:tc>
      </w:tr>
      <w:tr w:rsidR="00960C35" w:rsidRPr="00960C35" w14:paraId="1798895A" w14:textId="77777777" w:rsidTr="005A31C1">
        <w:trPr>
          <w:cantSplit/>
          <w:jc w:val="center"/>
        </w:trPr>
        <w:tc>
          <w:tcPr>
            <w:tcW w:w="1530" w:type="dxa"/>
            <w:vMerge/>
            <w:tcBorders>
              <w:top w:val="single" w:sz="6" w:space="0" w:color="auto"/>
              <w:bottom w:val="single" w:sz="12" w:space="0" w:color="auto"/>
            </w:tcBorders>
            <w:vAlign w:val="center"/>
          </w:tcPr>
          <w:p w14:paraId="4A8082EE" w14:textId="77777777" w:rsidR="00960C35" w:rsidRPr="001B7158" w:rsidRDefault="00960C35" w:rsidP="00960C35">
            <w:pPr>
              <w:spacing w:after="0" w:line="240" w:lineRule="auto"/>
              <w:jc w:val="center"/>
              <w:rPr>
                <w:rFonts w:eastAsia="Times New Roman" w:cs="Times New Roman"/>
                <w:b/>
                <w:spacing w:val="0"/>
              </w:rPr>
            </w:pPr>
          </w:p>
        </w:tc>
        <w:tc>
          <w:tcPr>
            <w:tcW w:w="3405" w:type="dxa"/>
            <w:tcBorders>
              <w:top w:val="single" w:sz="6" w:space="0" w:color="auto"/>
              <w:bottom w:val="single" w:sz="12" w:space="0" w:color="auto"/>
            </w:tcBorders>
          </w:tcPr>
          <w:p w14:paraId="3F2BBEFA" w14:textId="1FD1F530" w:rsidR="00960C35" w:rsidRPr="001B7158" w:rsidRDefault="00960C35" w:rsidP="00960C35">
            <w:pPr>
              <w:spacing w:after="0" w:line="240" w:lineRule="auto"/>
              <w:rPr>
                <w:rFonts w:eastAsia="Times New Roman" w:cs="Times New Roman"/>
                <w:spacing w:val="0"/>
              </w:rPr>
            </w:pPr>
            <w:r w:rsidRPr="001B7158">
              <w:rPr>
                <w:rFonts w:eastAsia="Times New Roman" w:cs="Times New Roman"/>
                <w:spacing w:val="0"/>
              </w:rPr>
              <w:t>OPM</w:t>
            </w:r>
            <w:r w:rsidR="003C5B98" w:rsidRPr="001B7158">
              <w:rPr>
                <w:rFonts w:eastAsia="Times New Roman" w:cs="Times New Roman"/>
                <w:spacing w:val="0"/>
              </w:rPr>
              <w:t>-SuitEA</w:t>
            </w:r>
            <w:r w:rsidRPr="001B7158">
              <w:rPr>
                <w:rFonts w:eastAsia="Times New Roman" w:cs="Times New Roman"/>
                <w:spacing w:val="0"/>
              </w:rPr>
              <w:t xml:space="preserve"> (copy of final decision letter, copy of agency notification letter)</w:t>
            </w:r>
          </w:p>
        </w:tc>
        <w:tc>
          <w:tcPr>
            <w:tcW w:w="4065" w:type="dxa"/>
            <w:tcBorders>
              <w:top w:val="single" w:sz="6" w:space="0" w:color="auto"/>
              <w:bottom w:val="single" w:sz="12" w:space="0" w:color="auto"/>
            </w:tcBorders>
          </w:tcPr>
          <w:p w14:paraId="0C4A407C" w14:textId="62A663DE" w:rsidR="00960C35" w:rsidRPr="001B7158" w:rsidRDefault="003C5B98" w:rsidP="00960C35">
            <w:pPr>
              <w:spacing w:after="0" w:line="240" w:lineRule="auto"/>
              <w:rPr>
                <w:rFonts w:eastAsia="Times New Roman" w:cs="Times New Roman"/>
                <w:spacing w:val="0"/>
              </w:rPr>
            </w:pPr>
            <w:r w:rsidRPr="001B7158">
              <w:rPr>
                <w:rFonts w:eastAsia="Times New Roman" w:cs="Times New Roman"/>
                <w:spacing w:val="0"/>
              </w:rPr>
              <w:t>Update government</w:t>
            </w:r>
            <w:r w:rsidR="00BB21FA">
              <w:rPr>
                <w:rFonts w:eastAsia="Times New Roman" w:cs="Times New Roman"/>
                <w:spacing w:val="0"/>
              </w:rPr>
              <w:t>-</w:t>
            </w:r>
            <w:r w:rsidRPr="001B7158">
              <w:rPr>
                <w:rFonts w:eastAsia="Times New Roman" w:cs="Times New Roman"/>
                <w:spacing w:val="0"/>
              </w:rPr>
              <w:t>wide repository and include all case documents in file.</w:t>
            </w:r>
          </w:p>
        </w:tc>
      </w:tr>
      <w:tr w:rsidR="00960C35" w:rsidRPr="00960C35" w14:paraId="68277F1A" w14:textId="77777777" w:rsidTr="00AF303C">
        <w:trPr>
          <w:cantSplit/>
          <w:jc w:val="center"/>
        </w:trPr>
        <w:tc>
          <w:tcPr>
            <w:tcW w:w="1530" w:type="dxa"/>
            <w:vMerge w:val="restart"/>
            <w:tcBorders>
              <w:top w:val="single" w:sz="12" w:space="0" w:color="auto"/>
              <w:bottom w:val="single" w:sz="6" w:space="0" w:color="auto"/>
            </w:tcBorders>
            <w:vAlign w:val="center"/>
          </w:tcPr>
          <w:p w14:paraId="51D9ECEE" w14:textId="77777777" w:rsidR="00960C35" w:rsidRPr="001B7158" w:rsidRDefault="00960C35" w:rsidP="00960C35">
            <w:pPr>
              <w:spacing w:after="0" w:line="240" w:lineRule="auto"/>
              <w:jc w:val="center"/>
              <w:rPr>
                <w:rFonts w:eastAsia="Times New Roman" w:cs="Times New Roman"/>
                <w:b/>
                <w:spacing w:val="0"/>
              </w:rPr>
            </w:pPr>
            <w:r w:rsidRPr="001B7158">
              <w:rPr>
                <w:rFonts w:eastAsia="Times New Roman" w:cs="Times New Roman"/>
                <w:b/>
                <w:spacing w:val="0"/>
              </w:rPr>
              <w:t>Appointee</w:t>
            </w:r>
          </w:p>
          <w:p w14:paraId="306338E2" w14:textId="77777777" w:rsidR="00960C35" w:rsidRPr="001B7158" w:rsidRDefault="00960C35" w:rsidP="00960C35">
            <w:pPr>
              <w:spacing w:after="0" w:line="240" w:lineRule="auto"/>
              <w:jc w:val="center"/>
              <w:rPr>
                <w:rFonts w:eastAsia="Times New Roman" w:cs="Times New Roman"/>
                <w:b/>
                <w:spacing w:val="0"/>
              </w:rPr>
            </w:pPr>
            <w:r w:rsidRPr="001B7158">
              <w:rPr>
                <w:rFonts w:eastAsia="Times New Roman" w:cs="Times New Roman"/>
                <w:b/>
                <w:spacing w:val="0"/>
              </w:rPr>
              <w:t>Or</w:t>
            </w:r>
          </w:p>
          <w:p w14:paraId="698A0872" w14:textId="77777777" w:rsidR="00960C35" w:rsidRPr="001B7158" w:rsidRDefault="00960C35" w:rsidP="00960C35">
            <w:pPr>
              <w:spacing w:after="0" w:line="240" w:lineRule="auto"/>
              <w:jc w:val="center"/>
              <w:rPr>
                <w:rFonts w:eastAsia="Times New Roman" w:cs="Times New Roman"/>
                <w:b/>
                <w:spacing w:val="0"/>
              </w:rPr>
            </w:pPr>
            <w:r w:rsidRPr="001B7158">
              <w:rPr>
                <w:rFonts w:eastAsia="Times New Roman" w:cs="Times New Roman"/>
                <w:b/>
                <w:spacing w:val="0"/>
              </w:rPr>
              <w:t>Employee</w:t>
            </w:r>
          </w:p>
        </w:tc>
        <w:tc>
          <w:tcPr>
            <w:tcW w:w="3405" w:type="dxa"/>
            <w:tcBorders>
              <w:top w:val="single" w:sz="12" w:space="0" w:color="auto"/>
              <w:bottom w:val="single" w:sz="6" w:space="0" w:color="auto"/>
            </w:tcBorders>
          </w:tcPr>
          <w:p w14:paraId="6F72EF27" w14:textId="77777777" w:rsidR="00960C35" w:rsidRPr="001B7158" w:rsidRDefault="00960C35" w:rsidP="00960C35">
            <w:pPr>
              <w:spacing w:after="0" w:line="240" w:lineRule="auto"/>
              <w:rPr>
                <w:rFonts w:eastAsia="Times New Roman" w:cs="Times New Roman"/>
                <w:spacing w:val="0"/>
              </w:rPr>
            </w:pPr>
            <w:r w:rsidRPr="001B7158">
              <w:rPr>
                <w:rFonts w:eastAsia="Times New Roman" w:cs="Times New Roman"/>
                <w:spacing w:val="0"/>
              </w:rPr>
              <w:t>Appointee or Employee (original final decision letter - via agency, copy of agency notification)</w:t>
            </w:r>
          </w:p>
        </w:tc>
        <w:tc>
          <w:tcPr>
            <w:tcW w:w="4065" w:type="dxa"/>
            <w:tcBorders>
              <w:top w:val="single" w:sz="12" w:space="0" w:color="auto"/>
              <w:bottom w:val="single" w:sz="6" w:space="0" w:color="auto"/>
            </w:tcBorders>
          </w:tcPr>
          <w:p w14:paraId="274DA108" w14:textId="77777777" w:rsidR="00960C35" w:rsidRPr="001B7158" w:rsidRDefault="00960C35" w:rsidP="00960C35">
            <w:pPr>
              <w:spacing w:after="0" w:line="240" w:lineRule="auto"/>
              <w:rPr>
                <w:rFonts w:eastAsia="Times New Roman" w:cs="Times New Roman"/>
                <w:spacing w:val="0"/>
              </w:rPr>
            </w:pPr>
            <w:r w:rsidRPr="001B7158">
              <w:rPr>
                <w:rFonts w:eastAsia="Times New Roman" w:cs="Times New Roman"/>
                <w:spacing w:val="0"/>
              </w:rPr>
              <w:t>None.</w:t>
            </w:r>
          </w:p>
        </w:tc>
      </w:tr>
      <w:tr w:rsidR="00960C35" w:rsidRPr="00960C35" w14:paraId="6330263B" w14:textId="77777777" w:rsidTr="00AF303C">
        <w:trPr>
          <w:cantSplit/>
          <w:jc w:val="center"/>
        </w:trPr>
        <w:tc>
          <w:tcPr>
            <w:tcW w:w="1530" w:type="dxa"/>
            <w:vMerge/>
            <w:tcBorders>
              <w:top w:val="nil"/>
            </w:tcBorders>
          </w:tcPr>
          <w:p w14:paraId="4E44086C" w14:textId="77777777" w:rsidR="00960C35" w:rsidRPr="001B7158" w:rsidRDefault="00960C35" w:rsidP="00960C35">
            <w:pPr>
              <w:spacing w:after="0" w:line="240" w:lineRule="auto"/>
              <w:rPr>
                <w:rFonts w:eastAsia="Times New Roman" w:cs="Times New Roman"/>
                <w:spacing w:val="0"/>
              </w:rPr>
            </w:pPr>
          </w:p>
        </w:tc>
        <w:tc>
          <w:tcPr>
            <w:tcW w:w="3405" w:type="dxa"/>
            <w:tcBorders>
              <w:top w:val="nil"/>
            </w:tcBorders>
          </w:tcPr>
          <w:p w14:paraId="2303FA5E" w14:textId="77777777" w:rsidR="00960C35" w:rsidRPr="001B7158" w:rsidRDefault="00960C35" w:rsidP="00960C35">
            <w:pPr>
              <w:spacing w:after="0" w:line="240" w:lineRule="auto"/>
              <w:rPr>
                <w:rFonts w:eastAsia="Times New Roman" w:cs="Times New Roman"/>
                <w:spacing w:val="0"/>
              </w:rPr>
            </w:pPr>
            <w:r w:rsidRPr="001B7158">
              <w:rPr>
                <w:rFonts w:eastAsia="Times New Roman" w:cs="Times New Roman"/>
                <w:spacing w:val="0"/>
              </w:rPr>
              <w:t>Agency Personnel Security Office (copy of final decision letter, original agency notification)</w:t>
            </w:r>
          </w:p>
        </w:tc>
        <w:tc>
          <w:tcPr>
            <w:tcW w:w="4065" w:type="dxa"/>
            <w:tcBorders>
              <w:top w:val="nil"/>
            </w:tcBorders>
          </w:tcPr>
          <w:p w14:paraId="6AA8A789" w14:textId="167B0678" w:rsidR="00960C35" w:rsidRPr="001B7158" w:rsidRDefault="00960C35" w:rsidP="00960C35">
            <w:pPr>
              <w:spacing w:after="0" w:line="240" w:lineRule="auto"/>
              <w:rPr>
                <w:rFonts w:eastAsia="Times New Roman" w:cs="Times New Roman"/>
                <w:spacing w:val="0"/>
              </w:rPr>
            </w:pPr>
            <w:r w:rsidRPr="001B7158">
              <w:rPr>
                <w:rFonts w:eastAsia="Times New Roman" w:cs="Times New Roman"/>
                <w:spacing w:val="0"/>
              </w:rPr>
              <w:t>Take required action. Maintain all case documents and report action to OPM</w:t>
            </w:r>
            <w:r w:rsidR="00AF303C">
              <w:rPr>
                <w:rFonts w:eastAsia="Times New Roman" w:cs="Times New Roman"/>
                <w:spacing w:val="0"/>
              </w:rPr>
              <w:t>.</w:t>
            </w:r>
          </w:p>
        </w:tc>
      </w:tr>
      <w:tr w:rsidR="00960C35" w:rsidRPr="00960C35" w14:paraId="4C011667" w14:textId="77777777" w:rsidTr="00AF303C">
        <w:trPr>
          <w:cantSplit/>
          <w:jc w:val="center"/>
        </w:trPr>
        <w:tc>
          <w:tcPr>
            <w:tcW w:w="1530" w:type="dxa"/>
            <w:vMerge/>
          </w:tcPr>
          <w:p w14:paraId="4937A21D" w14:textId="77777777" w:rsidR="00960C35" w:rsidRPr="001B7158" w:rsidRDefault="00960C35" w:rsidP="00960C35">
            <w:pPr>
              <w:spacing w:after="0" w:line="240" w:lineRule="auto"/>
              <w:rPr>
                <w:rFonts w:eastAsia="Times New Roman" w:cs="Times New Roman"/>
                <w:spacing w:val="0"/>
              </w:rPr>
            </w:pPr>
          </w:p>
        </w:tc>
        <w:tc>
          <w:tcPr>
            <w:tcW w:w="3405" w:type="dxa"/>
          </w:tcPr>
          <w:p w14:paraId="765315F6" w14:textId="5DF9226F" w:rsidR="00960C35" w:rsidRPr="001B7158" w:rsidRDefault="00960C35" w:rsidP="00960C35">
            <w:pPr>
              <w:spacing w:after="0" w:line="240" w:lineRule="auto"/>
              <w:rPr>
                <w:rFonts w:eastAsia="Times New Roman" w:cs="Times New Roman"/>
                <w:spacing w:val="0"/>
              </w:rPr>
            </w:pPr>
            <w:r w:rsidRPr="001B7158">
              <w:rPr>
                <w:rFonts w:eastAsia="Times New Roman" w:cs="Times New Roman"/>
                <w:spacing w:val="0"/>
              </w:rPr>
              <w:t>OPM</w:t>
            </w:r>
            <w:r w:rsidRPr="001B7158">
              <w:rPr>
                <w:rFonts w:eastAsia="Times New Roman" w:cs="Times New Roman"/>
                <w:spacing w:val="0"/>
              </w:rPr>
              <w:noBreakHyphen/>
            </w:r>
            <w:r w:rsidR="003C5B98" w:rsidRPr="001B7158">
              <w:rPr>
                <w:rFonts w:eastAsia="Times New Roman" w:cs="Times New Roman"/>
                <w:spacing w:val="0"/>
              </w:rPr>
              <w:t>SuitEA</w:t>
            </w:r>
            <w:r w:rsidRPr="001B7158">
              <w:rPr>
                <w:rFonts w:eastAsia="Times New Roman" w:cs="Times New Roman"/>
                <w:spacing w:val="0"/>
              </w:rPr>
              <w:t xml:space="preserve"> (copy of final decision letter, copy of agency notification letter)</w:t>
            </w:r>
          </w:p>
        </w:tc>
        <w:tc>
          <w:tcPr>
            <w:tcW w:w="4065" w:type="dxa"/>
          </w:tcPr>
          <w:p w14:paraId="6C7E7FFE" w14:textId="24523050" w:rsidR="00960C35" w:rsidRPr="001B7158" w:rsidRDefault="003C5B98" w:rsidP="00960C35">
            <w:pPr>
              <w:spacing w:after="0" w:line="240" w:lineRule="auto"/>
              <w:rPr>
                <w:rFonts w:eastAsia="Times New Roman" w:cs="Times New Roman"/>
                <w:spacing w:val="0"/>
              </w:rPr>
            </w:pPr>
            <w:r w:rsidRPr="001B7158">
              <w:rPr>
                <w:rFonts w:eastAsia="Times New Roman" w:cs="Times New Roman"/>
                <w:spacing w:val="0"/>
              </w:rPr>
              <w:t>Update government</w:t>
            </w:r>
            <w:r w:rsidR="00BB21FA">
              <w:rPr>
                <w:rFonts w:eastAsia="Times New Roman" w:cs="Times New Roman"/>
                <w:spacing w:val="0"/>
              </w:rPr>
              <w:t>-</w:t>
            </w:r>
            <w:r w:rsidRPr="001B7158">
              <w:rPr>
                <w:rFonts w:eastAsia="Times New Roman" w:cs="Times New Roman"/>
                <w:spacing w:val="0"/>
              </w:rPr>
              <w:t>wide repository and include all case documents in file.</w:t>
            </w:r>
          </w:p>
        </w:tc>
      </w:tr>
    </w:tbl>
    <w:p w14:paraId="60C5533E" w14:textId="77777777" w:rsidR="00960C35" w:rsidRPr="005D0627" w:rsidRDefault="00960C35" w:rsidP="00927A76">
      <w:pPr>
        <w:spacing w:after="0"/>
        <w:rPr>
          <w:rFonts w:eastAsia="Times New Roman" w:cs="Times New Roman"/>
          <w:spacing w:val="0"/>
        </w:rPr>
      </w:pPr>
    </w:p>
    <w:p w14:paraId="69501B76" w14:textId="77777777" w:rsidR="00960C35" w:rsidRPr="005D0627" w:rsidRDefault="00960C35" w:rsidP="00927A76">
      <w:pPr>
        <w:spacing w:after="0"/>
        <w:rPr>
          <w:rFonts w:eastAsia="Times New Roman" w:cs="Times New Roman"/>
          <w:spacing w:val="0"/>
        </w:rPr>
      </w:pPr>
    </w:p>
    <w:p w14:paraId="413A5FA6" w14:textId="0D10ED26" w:rsidR="00960C35" w:rsidRPr="00B9051D" w:rsidRDefault="00960C35" w:rsidP="00A579B9">
      <w:pPr>
        <w:rPr>
          <w:rFonts w:eastAsia="Times New Roman" w:cs="Times New Roman"/>
          <w:spacing w:val="0"/>
        </w:rPr>
      </w:pPr>
      <w:r w:rsidRPr="001B7158">
        <w:rPr>
          <w:rFonts w:eastAsia="Times New Roman" w:cs="Times New Roman"/>
          <w:b/>
          <w:spacing w:val="0"/>
        </w:rPr>
        <w:t>Final Decision</w:t>
      </w:r>
      <w:r w:rsidRPr="00927A76">
        <w:rPr>
          <w:rFonts w:eastAsia="Times New Roman" w:cs="Times New Roman"/>
          <w:b/>
          <w:spacing w:val="0"/>
        </w:rPr>
        <w:fldChar w:fldCharType="begin"/>
      </w:r>
      <w:r w:rsidRPr="00927A76">
        <w:rPr>
          <w:rFonts w:eastAsia="Times New Roman" w:cs="Times New Roman"/>
          <w:b/>
          <w:spacing w:val="0"/>
        </w:rPr>
        <w:instrText xml:space="preserve"> XE "Final Decision Letter" </w:instrText>
      </w:r>
      <w:r w:rsidRPr="00927A76">
        <w:rPr>
          <w:rFonts w:eastAsia="Times New Roman" w:cs="Times New Roman"/>
          <w:b/>
          <w:spacing w:val="0"/>
        </w:rPr>
        <w:fldChar w:fldCharType="end"/>
      </w:r>
      <w:r w:rsidRPr="001B7158">
        <w:rPr>
          <w:rFonts w:eastAsia="Times New Roman" w:cs="Times New Roman"/>
          <w:b/>
          <w:spacing w:val="0"/>
        </w:rPr>
        <w:t xml:space="preserve"> Distribution Process</w:t>
      </w:r>
      <w:r w:rsidR="003C5B98" w:rsidRPr="001B7158">
        <w:rPr>
          <w:rFonts w:eastAsia="Times New Roman" w:cs="Times New Roman"/>
          <w:b/>
          <w:spacing w:val="0"/>
        </w:rPr>
        <w:t>-Agency Action</w:t>
      </w:r>
      <w:r w:rsidRPr="001B7158">
        <w:rPr>
          <w:rFonts w:eastAsia="Times New Roman" w:cs="Times New Roman"/>
          <w:b/>
          <w:spacing w:val="0"/>
        </w:rPr>
        <w:t>.</w:t>
      </w:r>
      <w:r w:rsidRPr="00927A76">
        <w:rPr>
          <w:rFonts w:eastAsia="Times New Roman" w:cs="Times New Roman"/>
          <w:b/>
          <w:spacing w:val="0"/>
        </w:rPr>
        <w:t xml:space="preserve"> </w:t>
      </w:r>
      <w:r w:rsidRPr="00FF6A14">
        <w:rPr>
          <w:rFonts w:eastAsia="Times New Roman" w:cs="Times New Roman"/>
          <w:spacing w:val="0"/>
        </w:rPr>
        <w:t>The following chart describes the distribution procedures:</w:t>
      </w:r>
    </w:p>
    <w:p w14:paraId="77743EB7" w14:textId="1251C1BC" w:rsidR="00960C35" w:rsidRPr="00960C35" w:rsidRDefault="00D43B0F" w:rsidP="00800CFF">
      <w:pPr>
        <w:pStyle w:val="Heading5"/>
      </w:pPr>
      <w:r>
        <w:t>Table 3</w:t>
      </w:r>
      <w:r w:rsidR="00800CFF">
        <w:t xml:space="preserve"> V</w:t>
      </w:r>
      <w:r>
        <w:t>5</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5" w:type="dxa"/>
          <w:right w:w="55" w:type="dxa"/>
        </w:tblCellMar>
        <w:tblLook w:val="0000" w:firstRow="0" w:lastRow="0" w:firstColumn="0" w:lastColumn="0" w:noHBand="0" w:noVBand="0"/>
      </w:tblPr>
      <w:tblGrid>
        <w:gridCol w:w="1695"/>
        <w:gridCol w:w="3240"/>
        <w:gridCol w:w="4065"/>
      </w:tblGrid>
      <w:tr w:rsidR="00960C35" w:rsidRPr="00960C35" w14:paraId="75870EBB" w14:textId="77777777" w:rsidTr="00B829FD">
        <w:trPr>
          <w:trHeight w:val="720"/>
          <w:tblHeader/>
          <w:jc w:val="center"/>
        </w:trPr>
        <w:tc>
          <w:tcPr>
            <w:tcW w:w="1695" w:type="dxa"/>
            <w:tcBorders>
              <w:top w:val="single" w:sz="12" w:space="0" w:color="auto"/>
              <w:bottom w:val="single" w:sz="12" w:space="0" w:color="auto"/>
            </w:tcBorders>
            <w:shd w:val="pct25" w:color="auto" w:fill="FFFFFF"/>
            <w:vAlign w:val="center"/>
          </w:tcPr>
          <w:p w14:paraId="549E8FB4" w14:textId="1A2C242E" w:rsidR="00960C35" w:rsidRPr="000E1954" w:rsidRDefault="00960C35" w:rsidP="00960C35">
            <w:pPr>
              <w:spacing w:after="0" w:line="240" w:lineRule="auto"/>
              <w:jc w:val="center"/>
              <w:rPr>
                <w:rFonts w:eastAsia="Times New Roman" w:cs="Times New Roman"/>
                <w:b/>
                <w:spacing w:val="0"/>
              </w:rPr>
            </w:pPr>
            <w:r w:rsidRPr="000E1954">
              <w:rPr>
                <w:rFonts w:eastAsia="Times New Roman" w:cs="Times New Roman"/>
                <w:b/>
                <w:spacing w:val="0"/>
              </w:rPr>
              <w:t>TYPE OF CASE</w:t>
            </w:r>
          </w:p>
        </w:tc>
        <w:tc>
          <w:tcPr>
            <w:tcW w:w="3240" w:type="dxa"/>
            <w:tcBorders>
              <w:top w:val="single" w:sz="12" w:space="0" w:color="auto"/>
              <w:bottom w:val="single" w:sz="12" w:space="0" w:color="auto"/>
            </w:tcBorders>
            <w:shd w:val="pct25" w:color="auto" w:fill="FFFFFF"/>
            <w:vAlign w:val="center"/>
          </w:tcPr>
          <w:p w14:paraId="136C318C" w14:textId="18FCEBCE" w:rsidR="00960C35" w:rsidRPr="000E1954" w:rsidRDefault="00960C35" w:rsidP="00960C35">
            <w:pPr>
              <w:spacing w:after="0" w:line="240" w:lineRule="auto"/>
              <w:jc w:val="center"/>
              <w:rPr>
                <w:rFonts w:eastAsia="Times New Roman" w:cs="Times New Roman"/>
                <w:b/>
                <w:spacing w:val="0"/>
              </w:rPr>
            </w:pPr>
            <w:r w:rsidRPr="000E1954">
              <w:rPr>
                <w:rFonts w:eastAsia="Times New Roman" w:cs="Times New Roman"/>
                <w:b/>
                <w:spacing w:val="0"/>
              </w:rPr>
              <w:t>RECIPIENT</w:t>
            </w:r>
          </w:p>
        </w:tc>
        <w:tc>
          <w:tcPr>
            <w:tcW w:w="4065" w:type="dxa"/>
            <w:tcBorders>
              <w:top w:val="single" w:sz="12" w:space="0" w:color="auto"/>
              <w:bottom w:val="single" w:sz="12" w:space="0" w:color="auto"/>
            </w:tcBorders>
            <w:shd w:val="pct25" w:color="auto" w:fill="FFFFFF"/>
            <w:vAlign w:val="center"/>
          </w:tcPr>
          <w:p w14:paraId="2768AB79" w14:textId="2936129D" w:rsidR="00960C35" w:rsidRPr="000E1954" w:rsidRDefault="00960C35" w:rsidP="00960C35">
            <w:pPr>
              <w:spacing w:after="0" w:line="240" w:lineRule="auto"/>
              <w:jc w:val="center"/>
              <w:rPr>
                <w:rFonts w:eastAsia="Times New Roman" w:cs="Times New Roman"/>
                <w:b/>
                <w:spacing w:val="0"/>
              </w:rPr>
            </w:pPr>
            <w:r w:rsidRPr="000E1954">
              <w:rPr>
                <w:rFonts w:eastAsia="Times New Roman" w:cs="Times New Roman"/>
                <w:b/>
                <w:spacing w:val="0"/>
              </w:rPr>
              <w:t>ACTION REQUIRED OF RECIPIENT</w:t>
            </w:r>
          </w:p>
        </w:tc>
      </w:tr>
      <w:tr w:rsidR="00960C35" w:rsidRPr="00960C35" w14:paraId="60C1D021" w14:textId="77777777" w:rsidTr="00B829FD">
        <w:trPr>
          <w:cantSplit/>
          <w:jc w:val="center"/>
        </w:trPr>
        <w:tc>
          <w:tcPr>
            <w:tcW w:w="1695" w:type="dxa"/>
            <w:vMerge w:val="restart"/>
            <w:tcBorders>
              <w:top w:val="nil"/>
            </w:tcBorders>
            <w:vAlign w:val="center"/>
          </w:tcPr>
          <w:p w14:paraId="7B9C9AB8" w14:textId="5034439D" w:rsidR="00960C35" w:rsidRPr="000E1954" w:rsidRDefault="008044D5" w:rsidP="00836F12">
            <w:pPr>
              <w:spacing w:after="0" w:line="240" w:lineRule="auto"/>
              <w:jc w:val="center"/>
              <w:rPr>
                <w:rFonts w:eastAsia="Times New Roman" w:cs="Times New Roman"/>
                <w:b/>
                <w:spacing w:val="0"/>
              </w:rPr>
            </w:pPr>
            <w:r w:rsidRPr="000E1954">
              <w:rPr>
                <w:rFonts w:eastAsia="Times New Roman" w:cs="Times New Roman"/>
                <w:b/>
                <w:spacing w:val="0"/>
              </w:rPr>
              <w:t xml:space="preserve">Uninvestigated </w:t>
            </w:r>
            <w:r w:rsidR="00960C35" w:rsidRPr="000E1954">
              <w:rPr>
                <w:rFonts w:eastAsia="Times New Roman" w:cs="Times New Roman"/>
                <w:b/>
                <w:spacing w:val="0"/>
              </w:rPr>
              <w:t>Applicant</w:t>
            </w:r>
          </w:p>
        </w:tc>
        <w:tc>
          <w:tcPr>
            <w:tcW w:w="3240" w:type="dxa"/>
            <w:tcBorders>
              <w:top w:val="nil"/>
            </w:tcBorders>
          </w:tcPr>
          <w:p w14:paraId="41E890CF" w14:textId="77777777" w:rsidR="00960C35" w:rsidRPr="000E1954" w:rsidRDefault="00960C35" w:rsidP="00960C35">
            <w:pPr>
              <w:spacing w:after="0" w:line="240" w:lineRule="auto"/>
              <w:rPr>
                <w:rFonts w:eastAsia="Times New Roman" w:cs="Times New Roman"/>
                <w:spacing w:val="0"/>
              </w:rPr>
            </w:pPr>
            <w:r w:rsidRPr="000E1954">
              <w:rPr>
                <w:rFonts w:eastAsia="Times New Roman" w:cs="Times New Roman"/>
                <w:spacing w:val="0"/>
              </w:rPr>
              <w:t>Applicant (original final decision letter)</w:t>
            </w:r>
          </w:p>
        </w:tc>
        <w:tc>
          <w:tcPr>
            <w:tcW w:w="4065" w:type="dxa"/>
            <w:tcBorders>
              <w:top w:val="nil"/>
            </w:tcBorders>
          </w:tcPr>
          <w:p w14:paraId="12083ABB" w14:textId="77777777" w:rsidR="00960C35" w:rsidRPr="000E1954" w:rsidRDefault="00960C35" w:rsidP="00960C35">
            <w:pPr>
              <w:spacing w:after="0" w:line="240" w:lineRule="auto"/>
              <w:rPr>
                <w:rFonts w:eastAsia="Times New Roman" w:cs="Times New Roman"/>
                <w:spacing w:val="0"/>
              </w:rPr>
            </w:pPr>
            <w:r w:rsidRPr="000E1954">
              <w:rPr>
                <w:rFonts w:eastAsia="Times New Roman" w:cs="Times New Roman"/>
                <w:spacing w:val="0"/>
              </w:rPr>
              <w:t>None.</w:t>
            </w:r>
          </w:p>
        </w:tc>
      </w:tr>
      <w:tr w:rsidR="00960C35" w:rsidRPr="00960C35" w14:paraId="32979EAB" w14:textId="77777777" w:rsidTr="00B829FD">
        <w:trPr>
          <w:cantSplit/>
          <w:jc w:val="center"/>
        </w:trPr>
        <w:tc>
          <w:tcPr>
            <w:tcW w:w="1695" w:type="dxa"/>
            <w:vMerge/>
            <w:vAlign w:val="center"/>
          </w:tcPr>
          <w:p w14:paraId="065A64AC" w14:textId="77777777" w:rsidR="00960C35" w:rsidRPr="001D0BD1" w:rsidRDefault="00960C35" w:rsidP="00836F12">
            <w:pPr>
              <w:spacing w:after="0" w:line="240" w:lineRule="auto"/>
              <w:jc w:val="center"/>
              <w:rPr>
                <w:rFonts w:eastAsia="Times New Roman" w:cs="Times New Roman"/>
                <w:b/>
                <w:spacing w:val="0"/>
              </w:rPr>
            </w:pPr>
          </w:p>
        </w:tc>
        <w:tc>
          <w:tcPr>
            <w:tcW w:w="3240" w:type="dxa"/>
          </w:tcPr>
          <w:p w14:paraId="54D4D66D" w14:textId="77777777" w:rsidR="00960C35" w:rsidRPr="001D0BD1" w:rsidRDefault="00960C35" w:rsidP="00960C35">
            <w:pPr>
              <w:spacing w:after="0" w:line="240" w:lineRule="auto"/>
              <w:rPr>
                <w:rFonts w:eastAsia="Times New Roman" w:cs="Times New Roman"/>
                <w:spacing w:val="0"/>
              </w:rPr>
            </w:pPr>
            <w:r w:rsidRPr="001D0BD1">
              <w:rPr>
                <w:rFonts w:eastAsia="Times New Roman" w:cs="Times New Roman"/>
                <w:spacing w:val="0"/>
              </w:rPr>
              <w:t>Examining Office (decision notification to submitting office)</w:t>
            </w:r>
          </w:p>
        </w:tc>
        <w:tc>
          <w:tcPr>
            <w:tcW w:w="4065" w:type="dxa"/>
          </w:tcPr>
          <w:p w14:paraId="0432F96E" w14:textId="77777777" w:rsidR="00960C35" w:rsidRPr="001D0BD1" w:rsidRDefault="00960C35" w:rsidP="00960C35">
            <w:pPr>
              <w:spacing w:after="0" w:line="240" w:lineRule="auto"/>
              <w:rPr>
                <w:rFonts w:eastAsia="Times New Roman" w:cs="Times New Roman"/>
                <w:spacing w:val="0"/>
              </w:rPr>
            </w:pPr>
            <w:r w:rsidRPr="001D0BD1">
              <w:rPr>
                <w:rFonts w:eastAsia="Times New Roman" w:cs="Times New Roman"/>
                <w:spacing w:val="0"/>
              </w:rPr>
              <w:t>Cancel application and maintain record of debarment.</w:t>
            </w:r>
          </w:p>
        </w:tc>
      </w:tr>
      <w:tr w:rsidR="00960C35" w:rsidRPr="00960C35" w14:paraId="38E9D6B9" w14:textId="77777777" w:rsidTr="00B829FD">
        <w:trPr>
          <w:cantSplit/>
          <w:jc w:val="center"/>
        </w:trPr>
        <w:tc>
          <w:tcPr>
            <w:tcW w:w="1695" w:type="dxa"/>
            <w:vMerge/>
            <w:vAlign w:val="center"/>
          </w:tcPr>
          <w:p w14:paraId="7DAED850" w14:textId="77777777" w:rsidR="00960C35" w:rsidRPr="001D0BD1" w:rsidRDefault="00960C35" w:rsidP="00836F12">
            <w:pPr>
              <w:spacing w:after="0" w:line="240" w:lineRule="auto"/>
              <w:jc w:val="center"/>
              <w:rPr>
                <w:rFonts w:eastAsia="Times New Roman" w:cs="Times New Roman"/>
                <w:b/>
                <w:spacing w:val="0"/>
              </w:rPr>
            </w:pPr>
          </w:p>
        </w:tc>
        <w:tc>
          <w:tcPr>
            <w:tcW w:w="3240" w:type="dxa"/>
          </w:tcPr>
          <w:p w14:paraId="37AD7F3B" w14:textId="77777777" w:rsidR="00960C35" w:rsidRPr="001D0BD1" w:rsidRDefault="00960C35" w:rsidP="00960C35">
            <w:pPr>
              <w:spacing w:after="0" w:line="240" w:lineRule="auto"/>
              <w:rPr>
                <w:rFonts w:eastAsia="Times New Roman" w:cs="Times New Roman"/>
                <w:spacing w:val="0"/>
              </w:rPr>
            </w:pPr>
            <w:r w:rsidRPr="001D0BD1">
              <w:rPr>
                <w:rFonts w:eastAsia="Times New Roman" w:cs="Times New Roman"/>
                <w:spacing w:val="0"/>
              </w:rPr>
              <w:t>Agency Adjudications Office (copy of final decision letter and submitting office notification)</w:t>
            </w:r>
          </w:p>
        </w:tc>
        <w:tc>
          <w:tcPr>
            <w:tcW w:w="4065" w:type="dxa"/>
          </w:tcPr>
          <w:p w14:paraId="15F6D22D" w14:textId="2B9B273F" w:rsidR="00960C35" w:rsidRPr="001D0BD1" w:rsidRDefault="00960C35" w:rsidP="00960C35">
            <w:pPr>
              <w:spacing w:after="0" w:line="240" w:lineRule="auto"/>
              <w:rPr>
                <w:rFonts w:eastAsia="Times New Roman" w:cs="Times New Roman"/>
                <w:spacing w:val="0"/>
              </w:rPr>
            </w:pPr>
            <w:r w:rsidRPr="001D0BD1">
              <w:rPr>
                <w:rFonts w:eastAsia="Times New Roman" w:cs="Times New Roman"/>
                <w:spacing w:val="0"/>
              </w:rPr>
              <w:t xml:space="preserve">Maintain documentation of action. </w:t>
            </w:r>
          </w:p>
        </w:tc>
      </w:tr>
      <w:tr w:rsidR="00960C35" w:rsidRPr="00960C35" w14:paraId="13EF2F26" w14:textId="77777777" w:rsidTr="00B829FD">
        <w:trPr>
          <w:cantSplit/>
          <w:jc w:val="center"/>
        </w:trPr>
        <w:tc>
          <w:tcPr>
            <w:tcW w:w="1695" w:type="dxa"/>
            <w:vMerge w:val="restart"/>
            <w:tcBorders>
              <w:top w:val="single" w:sz="12" w:space="0" w:color="auto"/>
              <w:bottom w:val="single" w:sz="6" w:space="0" w:color="auto"/>
            </w:tcBorders>
            <w:vAlign w:val="center"/>
          </w:tcPr>
          <w:p w14:paraId="70C0BC67" w14:textId="77777777" w:rsidR="00960C35" w:rsidRPr="000E1954" w:rsidRDefault="00960C35" w:rsidP="00836F12">
            <w:pPr>
              <w:spacing w:after="0" w:line="240" w:lineRule="auto"/>
              <w:jc w:val="center"/>
              <w:rPr>
                <w:rFonts w:eastAsia="Times New Roman" w:cs="Times New Roman"/>
                <w:b/>
                <w:spacing w:val="0"/>
              </w:rPr>
            </w:pPr>
          </w:p>
          <w:p w14:paraId="2D08AB5D" w14:textId="77777777" w:rsidR="00960C35" w:rsidRPr="000E1954" w:rsidRDefault="00960C35" w:rsidP="00836F12">
            <w:pPr>
              <w:spacing w:after="0" w:line="240" w:lineRule="auto"/>
              <w:jc w:val="center"/>
              <w:rPr>
                <w:rFonts w:eastAsia="Times New Roman" w:cs="Times New Roman"/>
                <w:b/>
                <w:spacing w:val="0"/>
              </w:rPr>
            </w:pPr>
            <w:r w:rsidRPr="000E1954">
              <w:rPr>
                <w:rFonts w:eastAsia="Times New Roman" w:cs="Times New Roman"/>
                <w:b/>
                <w:spacing w:val="0"/>
              </w:rPr>
              <w:t>Investigated Applicant</w:t>
            </w:r>
          </w:p>
          <w:p w14:paraId="40A2D0A6" w14:textId="77777777" w:rsidR="00960C35" w:rsidRPr="000E1954" w:rsidRDefault="00960C35" w:rsidP="00836F12">
            <w:pPr>
              <w:spacing w:after="0" w:line="240" w:lineRule="auto"/>
              <w:jc w:val="center"/>
              <w:rPr>
                <w:rFonts w:eastAsia="Times New Roman" w:cs="Times New Roman"/>
                <w:b/>
                <w:spacing w:val="0"/>
              </w:rPr>
            </w:pPr>
          </w:p>
          <w:p w14:paraId="412B3D2E" w14:textId="77777777" w:rsidR="00960C35" w:rsidRPr="000E1954" w:rsidRDefault="00960C35" w:rsidP="00836F12">
            <w:pPr>
              <w:spacing w:after="0" w:line="240" w:lineRule="auto"/>
              <w:jc w:val="center"/>
              <w:rPr>
                <w:rFonts w:eastAsia="Times New Roman" w:cs="Times New Roman"/>
                <w:b/>
                <w:spacing w:val="0"/>
              </w:rPr>
            </w:pPr>
          </w:p>
          <w:p w14:paraId="32D6F57D" w14:textId="2CF6FA27" w:rsidR="00960C35" w:rsidRPr="000E1954" w:rsidRDefault="00960C35" w:rsidP="00836F12">
            <w:pPr>
              <w:spacing w:after="0" w:line="240" w:lineRule="auto"/>
              <w:jc w:val="center"/>
              <w:rPr>
                <w:rFonts w:eastAsia="Times New Roman" w:cs="Times New Roman"/>
                <w:b/>
                <w:spacing w:val="0"/>
              </w:rPr>
            </w:pPr>
          </w:p>
        </w:tc>
        <w:tc>
          <w:tcPr>
            <w:tcW w:w="3240" w:type="dxa"/>
            <w:tcBorders>
              <w:top w:val="single" w:sz="12" w:space="0" w:color="auto"/>
              <w:bottom w:val="single" w:sz="6" w:space="0" w:color="auto"/>
            </w:tcBorders>
          </w:tcPr>
          <w:p w14:paraId="7B9485D6" w14:textId="77777777" w:rsidR="00960C35" w:rsidRPr="000E1954" w:rsidRDefault="00960C35" w:rsidP="00960C35">
            <w:pPr>
              <w:spacing w:after="0" w:line="240" w:lineRule="auto"/>
              <w:rPr>
                <w:rFonts w:eastAsia="Times New Roman" w:cs="Times New Roman"/>
                <w:spacing w:val="0"/>
              </w:rPr>
            </w:pPr>
            <w:r w:rsidRPr="000E1954">
              <w:rPr>
                <w:rFonts w:eastAsia="Times New Roman" w:cs="Times New Roman"/>
                <w:spacing w:val="0"/>
              </w:rPr>
              <w:t>Applicant (original final decision letter)</w:t>
            </w:r>
          </w:p>
        </w:tc>
        <w:tc>
          <w:tcPr>
            <w:tcW w:w="4065" w:type="dxa"/>
            <w:tcBorders>
              <w:top w:val="single" w:sz="12" w:space="0" w:color="auto"/>
              <w:bottom w:val="single" w:sz="6" w:space="0" w:color="auto"/>
            </w:tcBorders>
          </w:tcPr>
          <w:p w14:paraId="0BDF633F" w14:textId="77777777" w:rsidR="00960C35" w:rsidRPr="000E1954" w:rsidRDefault="00960C35" w:rsidP="00960C35">
            <w:pPr>
              <w:spacing w:after="0" w:line="240" w:lineRule="auto"/>
              <w:rPr>
                <w:rFonts w:eastAsia="Times New Roman" w:cs="Times New Roman"/>
                <w:spacing w:val="0"/>
              </w:rPr>
            </w:pPr>
            <w:r w:rsidRPr="000E1954">
              <w:rPr>
                <w:rFonts w:eastAsia="Times New Roman" w:cs="Times New Roman"/>
                <w:spacing w:val="0"/>
              </w:rPr>
              <w:t>None.</w:t>
            </w:r>
          </w:p>
        </w:tc>
      </w:tr>
      <w:tr w:rsidR="00960C35" w:rsidRPr="00960C35" w14:paraId="428A2A0A" w14:textId="77777777" w:rsidTr="00B829FD">
        <w:trPr>
          <w:cantSplit/>
          <w:jc w:val="center"/>
        </w:trPr>
        <w:tc>
          <w:tcPr>
            <w:tcW w:w="1695" w:type="dxa"/>
            <w:vMerge/>
            <w:tcBorders>
              <w:top w:val="nil"/>
            </w:tcBorders>
            <w:vAlign w:val="center"/>
          </w:tcPr>
          <w:p w14:paraId="59F06E50" w14:textId="77777777" w:rsidR="00960C35" w:rsidRPr="000E1954" w:rsidRDefault="00960C35" w:rsidP="00836F12">
            <w:pPr>
              <w:spacing w:after="0" w:line="240" w:lineRule="auto"/>
              <w:jc w:val="center"/>
              <w:rPr>
                <w:rFonts w:eastAsia="Times New Roman" w:cs="Times New Roman"/>
                <w:b/>
                <w:spacing w:val="0"/>
              </w:rPr>
            </w:pPr>
          </w:p>
        </w:tc>
        <w:tc>
          <w:tcPr>
            <w:tcW w:w="3240" w:type="dxa"/>
            <w:tcBorders>
              <w:top w:val="nil"/>
            </w:tcBorders>
          </w:tcPr>
          <w:p w14:paraId="77C4E506" w14:textId="77777777" w:rsidR="00960C35" w:rsidRPr="000E1954" w:rsidRDefault="00960C35" w:rsidP="00960C35">
            <w:pPr>
              <w:spacing w:after="0" w:line="240" w:lineRule="auto"/>
              <w:rPr>
                <w:rFonts w:eastAsia="Times New Roman" w:cs="Times New Roman"/>
                <w:spacing w:val="0"/>
              </w:rPr>
            </w:pPr>
            <w:r w:rsidRPr="000E1954">
              <w:rPr>
                <w:rFonts w:eastAsia="Times New Roman" w:cs="Times New Roman"/>
                <w:spacing w:val="0"/>
              </w:rPr>
              <w:t>Agency Adjudications Office (copy of final decision letter)</w:t>
            </w:r>
          </w:p>
        </w:tc>
        <w:tc>
          <w:tcPr>
            <w:tcW w:w="4065" w:type="dxa"/>
            <w:tcBorders>
              <w:top w:val="nil"/>
            </w:tcBorders>
          </w:tcPr>
          <w:p w14:paraId="579321F2" w14:textId="00143FCA" w:rsidR="00960C35" w:rsidRPr="000E1954" w:rsidRDefault="00960C35" w:rsidP="00960C35">
            <w:pPr>
              <w:spacing w:after="0" w:line="240" w:lineRule="auto"/>
              <w:rPr>
                <w:rFonts w:eastAsia="Times New Roman" w:cs="Times New Roman"/>
                <w:spacing w:val="0"/>
              </w:rPr>
            </w:pPr>
            <w:r w:rsidRPr="000E1954">
              <w:rPr>
                <w:rFonts w:eastAsia="Times New Roman" w:cs="Times New Roman"/>
                <w:spacing w:val="0"/>
              </w:rPr>
              <w:t xml:space="preserve">Take required action. Maintain all case documents and </w:t>
            </w:r>
            <w:r w:rsidR="008044D5" w:rsidRPr="000E1954">
              <w:rPr>
                <w:rFonts w:eastAsia="Times New Roman" w:cs="Times New Roman"/>
                <w:spacing w:val="0"/>
              </w:rPr>
              <w:t>report adjudication to government</w:t>
            </w:r>
            <w:r w:rsidR="00BB21FA">
              <w:rPr>
                <w:rFonts w:eastAsia="Times New Roman" w:cs="Times New Roman"/>
                <w:spacing w:val="0"/>
              </w:rPr>
              <w:t>-</w:t>
            </w:r>
            <w:r w:rsidR="008044D5" w:rsidRPr="000E1954">
              <w:rPr>
                <w:rFonts w:eastAsia="Times New Roman" w:cs="Times New Roman"/>
                <w:spacing w:val="0"/>
              </w:rPr>
              <w:t>wide repository.</w:t>
            </w:r>
          </w:p>
        </w:tc>
      </w:tr>
      <w:tr w:rsidR="00960C35" w:rsidRPr="00960C35" w14:paraId="63988E8F" w14:textId="77777777" w:rsidTr="00B829FD">
        <w:trPr>
          <w:cantSplit/>
          <w:jc w:val="center"/>
        </w:trPr>
        <w:tc>
          <w:tcPr>
            <w:tcW w:w="1695" w:type="dxa"/>
            <w:vMerge w:val="restart"/>
            <w:tcBorders>
              <w:top w:val="single" w:sz="12" w:space="0" w:color="auto"/>
              <w:bottom w:val="single" w:sz="6" w:space="0" w:color="auto"/>
            </w:tcBorders>
            <w:vAlign w:val="center"/>
          </w:tcPr>
          <w:p w14:paraId="4487C698" w14:textId="77777777" w:rsidR="00960C35" w:rsidRPr="000E1954" w:rsidRDefault="00960C35" w:rsidP="00836F12">
            <w:pPr>
              <w:spacing w:after="0" w:line="240" w:lineRule="auto"/>
              <w:jc w:val="center"/>
              <w:rPr>
                <w:rFonts w:eastAsia="Times New Roman" w:cs="Times New Roman"/>
                <w:b/>
                <w:spacing w:val="0"/>
              </w:rPr>
            </w:pPr>
            <w:r w:rsidRPr="000E1954">
              <w:rPr>
                <w:rFonts w:eastAsia="Times New Roman" w:cs="Times New Roman"/>
                <w:b/>
                <w:spacing w:val="0"/>
              </w:rPr>
              <w:t>Investigated Appointee</w:t>
            </w:r>
          </w:p>
        </w:tc>
        <w:tc>
          <w:tcPr>
            <w:tcW w:w="3240" w:type="dxa"/>
            <w:tcBorders>
              <w:top w:val="single" w:sz="12" w:space="0" w:color="auto"/>
              <w:bottom w:val="single" w:sz="6" w:space="0" w:color="auto"/>
            </w:tcBorders>
          </w:tcPr>
          <w:p w14:paraId="27DA949B" w14:textId="77777777" w:rsidR="00960C35" w:rsidRPr="000E1954" w:rsidRDefault="00960C35" w:rsidP="00960C35">
            <w:pPr>
              <w:spacing w:after="0" w:line="240" w:lineRule="auto"/>
              <w:rPr>
                <w:rFonts w:eastAsia="Times New Roman" w:cs="Times New Roman"/>
                <w:spacing w:val="0"/>
              </w:rPr>
            </w:pPr>
            <w:r w:rsidRPr="000E1954">
              <w:rPr>
                <w:rFonts w:eastAsia="Times New Roman" w:cs="Times New Roman"/>
                <w:spacing w:val="0"/>
              </w:rPr>
              <w:t>Appointee (original final decision letter)</w:t>
            </w:r>
          </w:p>
        </w:tc>
        <w:tc>
          <w:tcPr>
            <w:tcW w:w="4065" w:type="dxa"/>
            <w:tcBorders>
              <w:top w:val="single" w:sz="12" w:space="0" w:color="auto"/>
              <w:bottom w:val="single" w:sz="6" w:space="0" w:color="auto"/>
            </w:tcBorders>
          </w:tcPr>
          <w:p w14:paraId="0783BA8E" w14:textId="77777777" w:rsidR="00960C35" w:rsidRPr="000E1954" w:rsidRDefault="00960C35" w:rsidP="00960C35">
            <w:pPr>
              <w:spacing w:after="0" w:line="240" w:lineRule="auto"/>
              <w:rPr>
                <w:rFonts w:eastAsia="Times New Roman" w:cs="Times New Roman"/>
                <w:spacing w:val="0"/>
              </w:rPr>
            </w:pPr>
            <w:r w:rsidRPr="000E1954">
              <w:rPr>
                <w:rFonts w:eastAsia="Times New Roman" w:cs="Times New Roman"/>
                <w:spacing w:val="0"/>
              </w:rPr>
              <w:t>None.</w:t>
            </w:r>
          </w:p>
        </w:tc>
      </w:tr>
      <w:tr w:rsidR="00960C35" w:rsidRPr="00960C35" w14:paraId="7F349C02" w14:textId="77777777" w:rsidTr="00B829FD">
        <w:trPr>
          <w:cantSplit/>
          <w:jc w:val="center"/>
        </w:trPr>
        <w:tc>
          <w:tcPr>
            <w:tcW w:w="1695" w:type="dxa"/>
            <w:vMerge/>
            <w:tcBorders>
              <w:top w:val="nil"/>
            </w:tcBorders>
          </w:tcPr>
          <w:p w14:paraId="6EA1EDE5" w14:textId="77777777" w:rsidR="00960C35" w:rsidRPr="000E1954" w:rsidRDefault="00960C35" w:rsidP="00960C35">
            <w:pPr>
              <w:spacing w:after="19" w:line="240" w:lineRule="auto"/>
              <w:rPr>
                <w:rFonts w:eastAsia="Times New Roman" w:cs="Times New Roman"/>
                <w:spacing w:val="0"/>
              </w:rPr>
            </w:pPr>
          </w:p>
        </w:tc>
        <w:tc>
          <w:tcPr>
            <w:tcW w:w="3240" w:type="dxa"/>
            <w:tcBorders>
              <w:top w:val="nil"/>
            </w:tcBorders>
          </w:tcPr>
          <w:p w14:paraId="55306440" w14:textId="77777777" w:rsidR="00960C35" w:rsidRPr="000E1954" w:rsidRDefault="00960C35" w:rsidP="00960C35">
            <w:pPr>
              <w:spacing w:after="19" w:line="240" w:lineRule="auto"/>
              <w:rPr>
                <w:rFonts w:eastAsia="Times New Roman" w:cs="Times New Roman"/>
                <w:spacing w:val="0"/>
              </w:rPr>
            </w:pPr>
            <w:r w:rsidRPr="000E1954">
              <w:rPr>
                <w:rFonts w:eastAsia="Times New Roman" w:cs="Times New Roman"/>
                <w:spacing w:val="0"/>
              </w:rPr>
              <w:t>Agency Adjudications Office (copy of final decision letter)</w:t>
            </w:r>
          </w:p>
        </w:tc>
        <w:tc>
          <w:tcPr>
            <w:tcW w:w="4065" w:type="dxa"/>
            <w:tcBorders>
              <w:top w:val="nil"/>
            </w:tcBorders>
          </w:tcPr>
          <w:p w14:paraId="3C82C10B" w14:textId="23DFC9E1" w:rsidR="00960C35" w:rsidRPr="000E1954" w:rsidRDefault="00960C35" w:rsidP="00960C35">
            <w:pPr>
              <w:spacing w:after="19" w:line="240" w:lineRule="auto"/>
              <w:rPr>
                <w:rFonts w:eastAsia="Times New Roman" w:cs="Times New Roman"/>
                <w:spacing w:val="0"/>
              </w:rPr>
            </w:pPr>
            <w:r w:rsidRPr="000E1954">
              <w:rPr>
                <w:rFonts w:eastAsia="Times New Roman" w:cs="Times New Roman"/>
                <w:spacing w:val="0"/>
              </w:rPr>
              <w:t xml:space="preserve">Take required action. Maintain all case documents and </w:t>
            </w:r>
            <w:r w:rsidR="008044D5" w:rsidRPr="000E1954">
              <w:rPr>
                <w:rFonts w:eastAsia="Times New Roman" w:cs="Times New Roman"/>
                <w:spacing w:val="0"/>
              </w:rPr>
              <w:t>report adjudication to government</w:t>
            </w:r>
            <w:r w:rsidR="00BB21FA">
              <w:rPr>
                <w:rFonts w:eastAsia="Times New Roman" w:cs="Times New Roman"/>
                <w:spacing w:val="0"/>
              </w:rPr>
              <w:t>-</w:t>
            </w:r>
            <w:r w:rsidR="008044D5" w:rsidRPr="000E1954">
              <w:rPr>
                <w:rFonts w:eastAsia="Times New Roman" w:cs="Times New Roman"/>
                <w:spacing w:val="0"/>
              </w:rPr>
              <w:t>wide repository.</w:t>
            </w:r>
          </w:p>
        </w:tc>
      </w:tr>
    </w:tbl>
    <w:p w14:paraId="65B48AAA" w14:textId="77777777" w:rsidR="00D43B0F" w:rsidRPr="003B58A2" w:rsidRDefault="00D43B0F" w:rsidP="003C5B98">
      <w:pPr>
        <w:spacing w:after="0" w:line="240" w:lineRule="auto"/>
        <w:rPr>
          <w:rStyle w:val="normaltextrun"/>
          <w:color w:val="093453"/>
          <w:shd w:val="clear" w:color="auto" w:fill="FFFFFF"/>
        </w:rPr>
      </w:pPr>
    </w:p>
    <w:p w14:paraId="477EF490" w14:textId="2A27354A" w:rsidR="003C5B98" w:rsidRPr="007426A7" w:rsidRDefault="003C5B98" w:rsidP="00A33D6F">
      <w:pPr>
        <w:pStyle w:val="Heading2"/>
        <w:rPr>
          <w:rFonts w:ascii="Source Serif Pro" w:eastAsia="Times New Roman" w:hAnsi="Source Serif Pro" w:cs="Times New Roman"/>
          <w:spacing w:val="0"/>
          <w:sz w:val="22"/>
          <w:szCs w:val="22"/>
        </w:rPr>
      </w:pPr>
      <w:bookmarkStart w:id="167" w:name="_Toc187053002"/>
      <w:bookmarkStart w:id="168" w:name="_Toc187924183"/>
      <w:r w:rsidRPr="548D0660">
        <w:rPr>
          <w:rStyle w:val="normaltextrun"/>
          <w:shd w:val="clear" w:color="auto" w:fill="FFFFFF"/>
        </w:rPr>
        <w:t>5.</w:t>
      </w:r>
      <w:r w:rsidR="00D43B0F" w:rsidRPr="548D0660">
        <w:rPr>
          <w:rStyle w:val="normaltextrun"/>
          <w:shd w:val="clear" w:color="auto" w:fill="FFFFFF"/>
        </w:rPr>
        <w:t>8</w:t>
      </w:r>
      <w:r w:rsidRPr="548D0660">
        <w:rPr>
          <w:rStyle w:val="normaltextrun"/>
          <w:shd w:val="clear" w:color="auto" w:fill="FFFFFF"/>
        </w:rPr>
        <w:t xml:space="preserve"> – Reporting Unfavorable Actions</w:t>
      </w:r>
      <w:bookmarkEnd w:id="167"/>
      <w:bookmarkEnd w:id="168"/>
    </w:p>
    <w:p w14:paraId="6C79105A" w14:textId="5E245EB2" w:rsidR="003C5B98" w:rsidRPr="000E1954" w:rsidRDefault="003C5B98" w:rsidP="003A5086">
      <w:pPr>
        <w:spacing w:after="0"/>
        <w:rPr>
          <w:rFonts w:eastAsia="Times New Roman" w:cs="Times New Roman"/>
          <w:spacing w:val="0"/>
        </w:rPr>
      </w:pPr>
      <w:r w:rsidRPr="000E1954">
        <w:rPr>
          <w:rFonts w:eastAsia="Times New Roman" w:cs="Times New Roman"/>
          <w:spacing w:val="0"/>
        </w:rPr>
        <w:t xml:space="preserve">Agencies are required to report into the </w:t>
      </w:r>
      <w:r w:rsidR="00BB21FA">
        <w:rPr>
          <w:rFonts w:eastAsia="Times New Roman" w:cs="Times New Roman"/>
          <w:spacing w:val="0"/>
        </w:rPr>
        <w:t>g</w:t>
      </w:r>
      <w:r w:rsidRPr="000E1954">
        <w:rPr>
          <w:rFonts w:eastAsia="Times New Roman" w:cs="Times New Roman"/>
          <w:spacing w:val="0"/>
        </w:rPr>
        <w:t>overnment</w:t>
      </w:r>
      <w:r w:rsidR="00BB21FA">
        <w:rPr>
          <w:rFonts w:eastAsia="Times New Roman" w:cs="Times New Roman"/>
          <w:spacing w:val="0"/>
        </w:rPr>
        <w:t>-</w:t>
      </w:r>
      <w:r w:rsidRPr="000E1954">
        <w:rPr>
          <w:rFonts w:eastAsia="Times New Roman" w:cs="Times New Roman"/>
          <w:spacing w:val="0"/>
        </w:rPr>
        <w:t>wide repository any unfavorable suitability actions taken under 5 C</w:t>
      </w:r>
      <w:r w:rsidR="00936375">
        <w:rPr>
          <w:rFonts w:eastAsia="Times New Roman" w:cs="Times New Roman"/>
          <w:spacing w:val="0"/>
        </w:rPr>
        <w:t>.</w:t>
      </w:r>
      <w:r w:rsidRPr="000E1954">
        <w:rPr>
          <w:rFonts w:eastAsia="Times New Roman" w:cs="Times New Roman"/>
          <w:spacing w:val="0"/>
        </w:rPr>
        <w:t>F</w:t>
      </w:r>
      <w:r w:rsidR="00936375">
        <w:rPr>
          <w:rFonts w:eastAsia="Times New Roman" w:cs="Times New Roman"/>
          <w:spacing w:val="0"/>
        </w:rPr>
        <w:t>.</w:t>
      </w:r>
      <w:r w:rsidRPr="000E1954">
        <w:rPr>
          <w:rFonts w:eastAsia="Times New Roman" w:cs="Times New Roman"/>
          <w:spacing w:val="0"/>
        </w:rPr>
        <w:t>R</w:t>
      </w:r>
      <w:r w:rsidR="00936375">
        <w:rPr>
          <w:rFonts w:eastAsia="Times New Roman" w:cs="Times New Roman"/>
          <w:spacing w:val="0"/>
        </w:rPr>
        <w:t>.</w:t>
      </w:r>
      <w:r w:rsidRPr="000E1954">
        <w:rPr>
          <w:rFonts w:eastAsia="Times New Roman" w:cs="Times New Roman"/>
          <w:spacing w:val="0"/>
        </w:rPr>
        <w:t xml:space="preserve"> part 731 within 30 days after the action is taken. All </w:t>
      </w:r>
      <w:r w:rsidRPr="000E1954">
        <w:rPr>
          <w:rFonts w:eastAsia="Times New Roman" w:cs="Times New Roman"/>
          <w:spacing w:val="0"/>
        </w:rPr>
        <w:lastRenderedPageBreak/>
        <w:t xml:space="preserve">actions must be reported as soon as possible or no later than 90 days after receipt of the final report of investigation. </w:t>
      </w:r>
    </w:p>
    <w:p w14:paraId="30034D09" w14:textId="77777777" w:rsidR="00960C35" w:rsidRPr="007426A7" w:rsidRDefault="00960C35" w:rsidP="00960C35">
      <w:pPr>
        <w:spacing w:after="0" w:line="240" w:lineRule="auto"/>
        <w:rPr>
          <w:rFonts w:eastAsia="Times New Roman" w:cs="Times New Roman"/>
          <w:spacing w:val="0"/>
        </w:rPr>
      </w:pPr>
    </w:p>
    <w:p w14:paraId="14C513AA" w14:textId="45C9527E" w:rsidR="00D43B0F" w:rsidRPr="00960C35" w:rsidRDefault="00D43B0F" w:rsidP="004032D2">
      <w:pPr>
        <w:pStyle w:val="Heading2"/>
        <w:rPr>
          <w:rFonts w:ascii="CG Times" w:eastAsia="Times New Roman" w:hAnsi="CG Times" w:cs="Times New Roman"/>
          <w:spacing w:val="0"/>
          <w:sz w:val="23"/>
          <w:szCs w:val="23"/>
        </w:rPr>
      </w:pPr>
      <w:bookmarkStart w:id="169" w:name="_Toc187053003"/>
      <w:bookmarkStart w:id="170" w:name="_Toc187924184"/>
      <w:r w:rsidRPr="548D0660">
        <w:rPr>
          <w:rStyle w:val="normaltextrun"/>
          <w:shd w:val="clear" w:color="auto" w:fill="FFFFFF"/>
        </w:rPr>
        <w:t>5.</w:t>
      </w:r>
      <w:r w:rsidR="004032D2" w:rsidRPr="004032D2">
        <w:rPr>
          <w:rStyle w:val="normaltextrun"/>
          <w:shd w:val="clear" w:color="auto" w:fill="FFFFFF"/>
        </w:rPr>
        <w:t>9</w:t>
      </w:r>
      <w:r w:rsidRPr="548D0660">
        <w:rPr>
          <w:rStyle w:val="normaltextrun"/>
          <w:shd w:val="clear" w:color="auto" w:fill="FFFFFF"/>
        </w:rPr>
        <w:t xml:space="preserve"> – Concurrent Debarments or Imposing an Additional Period of Debarment When the Prior Has Expired</w:t>
      </w:r>
      <w:bookmarkEnd w:id="169"/>
      <w:bookmarkEnd w:id="170"/>
    </w:p>
    <w:p w14:paraId="3A5CCA2E" w14:textId="77777777" w:rsidR="00D43B0F" w:rsidRPr="002D21E6" w:rsidRDefault="00D43B0F" w:rsidP="00D43B0F">
      <w:pPr>
        <w:spacing w:after="0" w:line="240" w:lineRule="auto"/>
        <w:textAlignment w:val="baseline"/>
        <w:rPr>
          <w:rFonts w:eastAsia="Times New Roman" w:cs="Segoe UI"/>
          <w:b/>
          <w:color w:val="57595B"/>
          <w:spacing w:val="0"/>
        </w:rPr>
      </w:pPr>
    </w:p>
    <w:p w14:paraId="771706B4" w14:textId="7FE54FF6" w:rsidR="008614BA" w:rsidRPr="00960C35" w:rsidRDefault="008614BA" w:rsidP="00094C38">
      <w:pPr>
        <w:spacing w:after="120"/>
        <w:textAlignment w:val="baseline"/>
        <w:rPr>
          <w:rFonts w:ascii="Segoe UI" w:eastAsia="Times New Roman" w:hAnsi="Segoe UI" w:cs="Segoe UI"/>
          <w:spacing w:val="0"/>
          <w:sz w:val="18"/>
          <w:szCs w:val="18"/>
        </w:rPr>
      </w:pPr>
      <w:r w:rsidRPr="00960C35">
        <w:rPr>
          <w:rFonts w:eastAsia="Times New Roman" w:cs="Segoe UI"/>
          <w:spacing w:val="0"/>
        </w:rPr>
        <w:t xml:space="preserve">OPM and agencies may impose an additional period of debarment </w:t>
      </w:r>
      <w:r w:rsidR="00B77F0C">
        <w:rPr>
          <w:rFonts w:eastAsia="Times New Roman" w:cs="Segoe UI"/>
          <w:spacing w:val="0"/>
        </w:rPr>
        <w:t xml:space="preserve">either concurrent to or </w:t>
      </w:r>
      <w:r w:rsidRPr="00960C35">
        <w:rPr>
          <w:rFonts w:eastAsia="Times New Roman" w:cs="Segoe UI"/>
          <w:spacing w:val="0"/>
        </w:rPr>
        <w:t xml:space="preserve">following the expiration of a period of OPM or agency debarment, but only after the person again becomes an applicant, appointee, or employee subject to OPM’s </w:t>
      </w:r>
      <w:r w:rsidR="00936375">
        <w:rPr>
          <w:rFonts w:eastAsia="Times New Roman" w:cs="Segoe UI"/>
          <w:spacing w:val="0"/>
        </w:rPr>
        <w:t xml:space="preserve">or the agency’s </w:t>
      </w:r>
      <w:r w:rsidRPr="00960C35">
        <w:rPr>
          <w:rFonts w:eastAsia="Times New Roman" w:cs="Segoe UI"/>
          <w:spacing w:val="0"/>
        </w:rPr>
        <w:t>suitability jurisdiction. The additional debarment period may be based in whole or in part on the same conduct on which the previous suitability action was based, when warranted, or new conduct. Conduct that formed the basis for a previous suitability action may warrant an additional period of debarment, when: </w:t>
      </w:r>
    </w:p>
    <w:p w14:paraId="49692605" w14:textId="77777777" w:rsidR="008614BA" w:rsidRPr="00960C35" w:rsidRDefault="008614BA" w:rsidP="00094C38">
      <w:pPr>
        <w:numPr>
          <w:ilvl w:val="0"/>
          <w:numId w:val="61"/>
        </w:numPr>
        <w:tabs>
          <w:tab w:val="clear" w:pos="720"/>
        </w:tabs>
        <w:spacing w:after="0"/>
        <w:textAlignment w:val="baseline"/>
        <w:rPr>
          <w:rFonts w:eastAsia="Times New Roman" w:cs="Segoe UI"/>
          <w:spacing w:val="0"/>
        </w:rPr>
      </w:pPr>
      <w:r w:rsidRPr="00960C35">
        <w:rPr>
          <w:rFonts w:eastAsia="Times New Roman" w:cs="Segoe UI"/>
          <w:spacing w:val="0"/>
        </w:rPr>
        <w:t>The conduct upon which the prior determination was made is part of a pattern of misconduct that has continued despite the prior debarment. </w:t>
      </w:r>
    </w:p>
    <w:p w14:paraId="61E466C1" w14:textId="77777777" w:rsidR="008614BA" w:rsidRPr="00960C35" w:rsidRDefault="008614BA" w:rsidP="00AC3561">
      <w:pPr>
        <w:numPr>
          <w:ilvl w:val="0"/>
          <w:numId w:val="62"/>
        </w:numPr>
        <w:tabs>
          <w:tab w:val="clear" w:pos="720"/>
        </w:tabs>
        <w:textAlignment w:val="baseline"/>
        <w:rPr>
          <w:rFonts w:eastAsia="Times New Roman" w:cs="Segoe UI"/>
          <w:spacing w:val="0"/>
        </w:rPr>
      </w:pPr>
      <w:r w:rsidRPr="00960C35">
        <w:rPr>
          <w:rFonts w:eastAsia="Times New Roman" w:cs="Segoe UI"/>
          <w:spacing w:val="0"/>
        </w:rPr>
        <w:t>The conduct is of an egregious nature, and there are continuing concerns that the individual’s employment would not protect the integrity or promote the efficiency of the service in the position sought. </w:t>
      </w:r>
    </w:p>
    <w:p w14:paraId="72F4E603" w14:textId="77777777" w:rsidR="008E5B82" w:rsidRDefault="008614BA" w:rsidP="00BF3AC0">
      <w:pPr>
        <w:spacing w:after="120"/>
        <w:textAlignment w:val="baseline"/>
        <w:rPr>
          <w:rFonts w:eastAsia="Times New Roman" w:cs="Segoe UI"/>
          <w:spacing w:val="0"/>
        </w:rPr>
      </w:pPr>
      <w:r w:rsidRPr="00960C35">
        <w:rPr>
          <w:rFonts w:eastAsia="Times New Roman" w:cs="Segoe UI"/>
          <w:spacing w:val="0"/>
        </w:rPr>
        <w:t>For example, an additional debarment period might be appropriate where a person convicted of embezzlement continues to apply for fiduciary positions and does not report the conviction on the relevant questionnaire; where a person guilty of sexual crimes applies for positions dealing with the public where contact with children is reasonably expected; where an arsonist applies for a firefighter positions; and where those with lengthy criminal histories want to work in law enforcement positions. </w:t>
      </w:r>
    </w:p>
    <w:p w14:paraId="45BC0118" w14:textId="79B38477" w:rsidR="008614BA" w:rsidRPr="00960C35" w:rsidRDefault="008614BA" w:rsidP="00094C38">
      <w:pPr>
        <w:spacing w:after="0"/>
        <w:textAlignment w:val="baseline"/>
        <w:rPr>
          <w:rFonts w:ascii="Segoe UI" w:eastAsia="Times New Roman" w:hAnsi="Segoe UI" w:cs="Segoe UI"/>
          <w:spacing w:val="0"/>
          <w:sz w:val="18"/>
          <w:szCs w:val="18"/>
        </w:rPr>
      </w:pPr>
      <w:r w:rsidRPr="00960C35">
        <w:rPr>
          <w:rFonts w:eastAsia="Times New Roman" w:cs="Segoe UI"/>
          <w:spacing w:val="0"/>
        </w:rPr>
        <w:t>In making its determination, OPM or the agency must follow the procedures set forth in this</w:t>
      </w:r>
      <w:r w:rsidR="00B77F0C">
        <w:rPr>
          <w:rFonts w:eastAsia="Times New Roman" w:cs="Segoe UI"/>
          <w:spacing w:val="0"/>
        </w:rPr>
        <w:t xml:space="preserve"> Volume.</w:t>
      </w:r>
    </w:p>
    <w:p w14:paraId="0FAB0274" w14:textId="448418A3" w:rsidR="00960C35" w:rsidRPr="000D2464" w:rsidRDefault="00BA1F91">
      <w:pPr>
        <w:spacing w:after="160" w:line="259" w:lineRule="auto"/>
        <w:rPr>
          <w:rFonts w:eastAsia="Times New Roman" w:cs="Times New Roman"/>
          <w:spacing w:val="0"/>
        </w:rPr>
      </w:pPr>
      <w:r>
        <w:rPr>
          <w:rFonts w:eastAsia="Times New Roman" w:cs="Times New Roman"/>
          <w:spacing w:val="0"/>
        </w:rPr>
        <w:br w:type="page"/>
      </w:r>
    </w:p>
    <w:p w14:paraId="1FC33F9A" w14:textId="205A7685" w:rsidR="000B28C2" w:rsidRPr="00B77F0C" w:rsidRDefault="000B28C2" w:rsidP="004032D2">
      <w:pPr>
        <w:pStyle w:val="H1"/>
      </w:pPr>
      <w:bookmarkStart w:id="171" w:name="_Toc187053004"/>
      <w:bookmarkStart w:id="172" w:name="_Toc187924185"/>
      <w:r w:rsidRPr="00B77F0C">
        <w:lastRenderedPageBreak/>
        <w:t xml:space="preserve">Volume </w:t>
      </w:r>
      <w:r w:rsidR="00B77F0C" w:rsidRPr="00B77F0C">
        <w:t>6</w:t>
      </w:r>
      <w:r w:rsidRPr="00B77F0C">
        <w:t>:</w:t>
      </w:r>
      <w:r w:rsidRPr="00B77F0C">
        <w:rPr>
          <w:spacing w:val="-15"/>
        </w:rPr>
        <w:t xml:space="preserve"> </w:t>
      </w:r>
      <w:r w:rsidRPr="00B77F0C">
        <w:rPr>
          <w:spacing w:val="-1"/>
        </w:rPr>
        <w:t xml:space="preserve"> </w:t>
      </w:r>
      <w:r w:rsidR="00B77F0C">
        <w:t>Appeals to the Merit System Protection Board</w:t>
      </w:r>
      <w:bookmarkEnd w:id="171"/>
      <w:bookmarkEnd w:id="172"/>
      <w:r w:rsidRPr="00B77F0C">
        <w:t xml:space="preserve"> </w:t>
      </w:r>
    </w:p>
    <w:p w14:paraId="5F670C88" w14:textId="77777777" w:rsidR="000B28C2" w:rsidRPr="005B4726" w:rsidRDefault="000B28C2" w:rsidP="000B28C2">
      <w:pPr>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Sans Serif Collection"/>
          <w:spacing w:val="0"/>
          <w:sz w:val="30"/>
          <w:szCs w:val="30"/>
        </w:rPr>
      </w:pPr>
    </w:p>
    <w:p w14:paraId="0F58A6C2" w14:textId="77777777" w:rsidR="000B28C2" w:rsidRPr="00B77F0C" w:rsidRDefault="000B28C2" w:rsidP="00184C19">
      <w:pPr>
        <w:widowControl w:val="0"/>
        <w:spacing w:after="0" w:line="240" w:lineRule="auto"/>
        <w:rPr>
          <w:rFonts w:ascii="Source Sans Pro" w:eastAsia="Arial Narrow" w:hAnsi="Source Sans Pro" w:cs="Arial Narrow"/>
          <w:b/>
          <w:bCs/>
          <w:spacing w:val="0"/>
          <w:sz w:val="30"/>
          <w:szCs w:val="30"/>
        </w:rPr>
      </w:pPr>
      <w:r w:rsidRPr="00B77F0C">
        <w:rPr>
          <w:rFonts w:ascii="Source Sans Pro" w:eastAsia="Arial Narrow" w:hAnsi="Source Sans Pro" w:cs="Arial Narrow"/>
          <w:b/>
          <w:bCs/>
          <w:spacing w:val="0"/>
          <w:sz w:val="30"/>
          <w:szCs w:val="30"/>
        </w:rPr>
        <w:t>Change Record</w:t>
      </w:r>
    </w:p>
    <w:p w14:paraId="570222C9" w14:textId="77777777" w:rsidR="000B28C2" w:rsidRPr="005B4726" w:rsidRDefault="000B28C2" w:rsidP="000B28C2">
      <w:pPr>
        <w:widowControl w:val="0"/>
        <w:spacing w:before="5" w:after="0" w:line="240" w:lineRule="auto"/>
        <w:rPr>
          <w:rFonts w:eastAsia="Arial Narrow" w:cs="Arial Narrow"/>
          <w:spacing w:val="0"/>
          <w:sz w:val="30"/>
          <w:szCs w:val="3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1717"/>
        <w:gridCol w:w="6037"/>
      </w:tblGrid>
      <w:tr w:rsidR="000B28C2" w:rsidRPr="00B77F0C" w14:paraId="77F457F6" w14:textId="77777777" w:rsidTr="00184C19">
        <w:tc>
          <w:tcPr>
            <w:tcW w:w="1781" w:type="dxa"/>
            <w:shd w:val="clear" w:color="auto" w:fill="auto"/>
          </w:tcPr>
          <w:p w14:paraId="07FD6FB6" w14:textId="77777777" w:rsidR="000B28C2" w:rsidRPr="00B77F0C" w:rsidRDefault="000B28C2">
            <w:pPr>
              <w:widowControl w:val="0"/>
              <w:spacing w:before="5" w:after="0" w:line="240" w:lineRule="auto"/>
              <w:rPr>
                <w:rFonts w:ascii="Source Sans Pro" w:eastAsia="Arial Narrow" w:hAnsi="Source Sans Pro" w:cs="Arial Narrow"/>
                <w:b/>
                <w:bCs/>
                <w:spacing w:val="0"/>
                <w:sz w:val="30"/>
                <w:szCs w:val="30"/>
              </w:rPr>
            </w:pPr>
            <w:r w:rsidRPr="00B77F0C">
              <w:rPr>
                <w:rFonts w:ascii="Source Sans Pro" w:eastAsia="Arial Narrow" w:hAnsi="Source Sans Pro" w:cs="Arial Narrow"/>
                <w:b/>
                <w:bCs/>
                <w:spacing w:val="0"/>
                <w:sz w:val="30"/>
                <w:szCs w:val="30"/>
              </w:rPr>
              <w:t>Date</w:t>
            </w:r>
          </w:p>
        </w:tc>
        <w:tc>
          <w:tcPr>
            <w:tcW w:w="1717" w:type="dxa"/>
            <w:shd w:val="clear" w:color="auto" w:fill="auto"/>
          </w:tcPr>
          <w:p w14:paraId="20B341CE" w14:textId="4D722F50" w:rsidR="000B28C2" w:rsidRPr="00B77F0C" w:rsidRDefault="000B28C2">
            <w:pPr>
              <w:widowControl w:val="0"/>
              <w:spacing w:before="5" w:after="0" w:line="240" w:lineRule="auto"/>
              <w:rPr>
                <w:rFonts w:ascii="Source Sans Pro" w:eastAsia="Arial Narrow" w:hAnsi="Source Sans Pro" w:cs="Arial Narrow"/>
                <w:b/>
                <w:bCs/>
                <w:spacing w:val="0"/>
                <w:sz w:val="30"/>
                <w:szCs w:val="30"/>
              </w:rPr>
            </w:pPr>
            <w:r w:rsidRPr="00B77F0C">
              <w:rPr>
                <w:rFonts w:ascii="Source Sans Pro" w:eastAsia="Arial Narrow" w:hAnsi="Source Sans Pro" w:cs="Arial Narrow"/>
                <w:b/>
                <w:bCs/>
                <w:spacing w:val="0"/>
                <w:sz w:val="30"/>
                <w:szCs w:val="30"/>
              </w:rPr>
              <w:t>Page</w:t>
            </w:r>
            <w:r w:rsidR="00623A85">
              <w:rPr>
                <w:rFonts w:ascii="Source Sans Pro" w:eastAsia="Arial Narrow" w:hAnsi="Source Sans Pro" w:cs="Arial Narrow"/>
                <w:b/>
                <w:bCs/>
                <w:spacing w:val="0"/>
                <w:sz w:val="30"/>
                <w:szCs w:val="30"/>
              </w:rPr>
              <w:t>(s)</w:t>
            </w:r>
            <w:r w:rsidRPr="00B77F0C">
              <w:rPr>
                <w:rFonts w:ascii="Source Sans Pro" w:eastAsia="Arial Narrow" w:hAnsi="Source Sans Pro" w:cs="Arial Narrow"/>
                <w:b/>
                <w:bCs/>
                <w:spacing w:val="0"/>
                <w:sz w:val="30"/>
                <w:szCs w:val="30"/>
              </w:rPr>
              <w:t xml:space="preserve"> Affected</w:t>
            </w:r>
          </w:p>
        </w:tc>
        <w:tc>
          <w:tcPr>
            <w:tcW w:w="6037" w:type="dxa"/>
            <w:shd w:val="clear" w:color="auto" w:fill="auto"/>
          </w:tcPr>
          <w:p w14:paraId="17F04784" w14:textId="455896A9" w:rsidR="000B28C2" w:rsidRPr="00B77F0C" w:rsidRDefault="000B28C2">
            <w:pPr>
              <w:widowControl w:val="0"/>
              <w:spacing w:before="5" w:after="0" w:line="240" w:lineRule="auto"/>
              <w:rPr>
                <w:rFonts w:ascii="Source Sans Pro" w:eastAsia="Arial Narrow" w:hAnsi="Source Sans Pro" w:cs="Arial Narrow"/>
                <w:b/>
                <w:bCs/>
                <w:spacing w:val="0"/>
                <w:sz w:val="30"/>
                <w:szCs w:val="30"/>
              </w:rPr>
            </w:pPr>
            <w:r w:rsidRPr="00B77F0C">
              <w:rPr>
                <w:rFonts w:ascii="Source Sans Pro" w:eastAsia="Arial Narrow" w:hAnsi="Source Sans Pro" w:cs="Arial Narrow"/>
                <w:b/>
                <w:bCs/>
                <w:spacing w:val="0"/>
                <w:sz w:val="30"/>
                <w:szCs w:val="30"/>
              </w:rPr>
              <w:t>Description of Revision</w:t>
            </w:r>
            <w:r w:rsidR="00623A85">
              <w:rPr>
                <w:rFonts w:ascii="Source Sans Pro" w:eastAsia="Arial Narrow" w:hAnsi="Source Sans Pro" w:cs="Arial Narrow"/>
                <w:b/>
                <w:bCs/>
                <w:spacing w:val="0"/>
                <w:sz w:val="30"/>
                <w:szCs w:val="30"/>
              </w:rPr>
              <w:t>(s)</w:t>
            </w:r>
          </w:p>
        </w:tc>
      </w:tr>
      <w:tr w:rsidR="000B28C2" w:rsidRPr="00B77F0C" w14:paraId="3ADFCCB8" w14:textId="77777777" w:rsidTr="00184C19">
        <w:tc>
          <w:tcPr>
            <w:tcW w:w="1781" w:type="dxa"/>
            <w:shd w:val="clear" w:color="auto" w:fill="auto"/>
          </w:tcPr>
          <w:p w14:paraId="73DF5D5E" w14:textId="77777777" w:rsidR="000B28C2" w:rsidRPr="00184C19" w:rsidRDefault="000B28C2">
            <w:pPr>
              <w:widowControl w:val="0"/>
              <w:spacing w:before="5" w:after="0" w:line="240" w:lineRule="auto"/>
              <w:rPr>
                <w:rFonts w:eastAsia="Arial Narrow" w:cs="Arial Narrow"/>
                <w:b/>
                <w:spacing w:val="0"/>
              </w:rPr>
            </w:pPr>
          </w:p>
        </w:tc>
        <w:tc>
          <w:tcPr>
            <w:tcW w:w="1717" w:type="dxa"/>
            <w:shd w:val="clear" w:color="auto" w:fill="auto"/>
          </w:tcPr>
          <w:p w14:paraId="5B0DD9A8" w14:textId="77777777" w:rsidR="000B28C2" w:rsidRPr="00184C19" w:rsidRDefault="000B28C2">
            <w:pPr>
              <w:widowControl w:val="0"/>
              <w:spacing w:before="5" w:after="0" w:line="240" w:lineRule="auto"/>
              <w:rPr>
                <w:rFonts w:eastAsia="Arial Narrow" w:cs="Arial Narrow"/>
                <w:b/>
                <w:spacing w:val="0"/>
              </w:rPr>
            </w:pPr>
          </w:p>
        </w:tc>
        <w:tc>
          <w:tcPr>
            <w:tcW w:w="6037" w:type="dxa"/>
            <w:shd w:val="clear" w:color="auto" w:fill="auto"/>
          </w:tcPr>
          <w:p w14:paraId="3D63DB45" w14:textId="77777777" w:rsidR="000B28C2" w:rsidRPr="00184C19" w:rsidRDefault="000B28C2">
            <w:pPr>
              <w:widowControl w:val="0"/>
              <w:spacing w:before="5" w:after="0" w:line="240" w:lineRule="auto"/>
              <w:rPr>
                <w:rFonts w:eastAsia="Arial Narrow" w:cs="Arial Narrow"/>
                <w:b/>
                <w:spacing w:val="0"/>
              </w:rPr>
            </w:pPr>
          </w:p>
        </w:tc>
      </w:tr>
      <w:tr w:rsidR="000B28C2" w:rsidRPr="00B77F0C" w14:paraId="55A62F34" w14:textId="77777777" w:rsidTr="00184C19">
        <w:tc>
          <w:tcPr>
            <w:tcW w:w="1781" w:type="dxa"/>
            <w:shd w:val="clear" w:color="auto" w:fill="auto"/>
          </w:tcPr>
          <w:p w14:paraId="36BD82D7" w14:textId="77777777" w:rsidR="000B28C2" w:rsidRPr="00184C19" w:rsidRDefault="000B28C2">
            <w:pPr>
              <w:widowControl w:val="0"/>
              <w:spacing w:before="5" w:after="0" w:line="240" w:lineRule="auto"/>
              <w:rPr>
                <w:rFonts w:eastAsia="Arial Narrow" w:cs="Arial Narrow"/>
                <w:b/>
                <w:spacing w:val="0"/>
              </w:rPr>
            </w:pPr>
          </w:p>
        </w:tc>
        <w:tc>
          <w:tcPr>
            <w:tcW w:w="1717" w:type="dxa"/>
            <w:shd w:val="clear" w:color="auto" w:fill="auto"/>
          </w:tcPr>
          <w:p w14:paraId="1F513D56" w14:textId="77777777" w:rsidR="000B28C2" w:rsidRPr="00184C19" w:rsidRDefault="000B28C2">
            <w:pPr>
              <w:widowControl w:val="0"/>
              <w:spacing w:before="5" w:after="0" w:line="240" w:lineRule="auto"/>
              <w:rPr>
                <w:rFonts w:eastAsia="Arial Narrow" w:cs="Arial Narrow"/>
                <w:b/>
                <w:spacing w:val="0"/>
              </w:rPr>
            </w:pPr>
          </w:p>
        </w:tc>
        <w:tc>
          <w:tcPr>
            <w:tcW w:w="6037" w:type="dxa"/>
            <w:shd w:val="clear" w:color="auto" w:fill="auto"/>
          </w:tcPr>
          <w:p w14:paraId="0AAACDCF" w14:textId="77777777" w:rsidR="000B28C2" w:rsidRPr="00184C19" w:rsidRDefault="000B28C2">
            <w:pPr>
              <w:widowControl w:val="0"/>
              <w:spacing w:before="5" w:after="0" w:line="240" w:lineRule="auto"/>
              <w:rPr>
                <w:rFonts w:eastAsia="Arial Narrow" w:cs="Arial Narrow"/>
                <w:b/>
                <w:spacing w:val="0"/>
              </w:rPr>
            </w:pPr>
          </w:p>
        </w:tc>
      </w:tr>
      <w:tr w:rsidR="000B28C2" w:rsidRPr="00B77F0C" w14:paraId="5463B4C3" w14:textId="77777777" w:rsidTr="00184C19">
        <w:tc>
          <w:tcPr>
            <w:tcW w:w="1781" w:type="dxa"/>
            <w:shd w:val="clear" w:color="auto" w:fill="auto"/>
          </w:tcPr>
          <w:p w14:paraId="636DAFC9" w14:textId="77777777" w:rsidR="000B28C2" w:rsidRPr="00184C19" w:rsidRDefault="000B28C2">
            <w:pPr>
              <w:widowControl w:val="0"/>
              <w:spacing w:before="5" w:after="0" w:line="240" w:lineRule="auto"/>
              <w:rPr>
                <w:rFonts w:eastAsia="Arial Narrow" w:cs="Arial Narrow"/>
                <w:b/>
                <w:spacing w:val="0"/>
              </w:rPr>
            </w:pPr>
          </w:p>
        </w:tc>
        <w:tc>
          <w:tcPr>
            <w:tcW w:w="1717" w:type="dxa"/>
            <w:shd w:val="clear" w:color="auto" w:fill="auto"/>
          </w:tcPr>
          <w:p w14:paraId="01FDA051" w14:textId="77777777" w:rsidR="000B28C2" w:rsidRPr="00184C19" w:rsidRDefault="000B28C2">
            <w:pPr>
              <w:widowControl w:val="0"/>
              <w:spacing w:before="5" w:after="0" w:line="240" w:lineRule="auto"/>
              <w:rPr>
                <w:rFonts w:eastAsia="Arial Narrow" w:cs="Arial Narrow"/>
                <w:b/>
                <w:spacing w:val="0"/>
              </w:rPr>
            </w:pPr>
          </w:p>
        </w:tc>
        <w:tc>
          <w:tcPr>
            <w:tcW w:w="6037" w:type="dxa"/>
            <w:shd w:val="clear" w:color="auto" w:fill="auto"/>
          </w:tcPr>
          <w:p w14:paraId="79FC0549" w14:textId="77777777" w:rsidR="000B28C2" w:rsidRPr="00184C19" w:rsidRDefault="000B28C2">
            <w:pPr>
              <w:widowControl w:val="0"/>
              <w:spacing w:before="5" w:after="0" w:line="240" w:lineRule="auto"/>
              <w:rPr>
                <w:rFonts w:eastAsia="Arial Narrow" w:cs="Arial Narrow"/>
                <w:b/>
                <w:spacing w:val="0"/>
              </w:rPr>
            </w:pPr>
          </w:p>
        </w:tc>
      </w:tr>
      <w:tr w:rsidR="008B2EA7" w:rsidRPr="00184C19" w14:paraId="1976651D" w14:textId="77777777" w:rsidTr="00184C19">
        <w:tc>
          <w:tcPr>
            <w:tcW w:w="1781" w:type="dxa"/>
            <w:shd w:val="clear" w:color="auto" w:fill="auto"/>
          </w:tcPr>
          <w:p w14:paraId="4D7CD7BA" w14:textId="77777777" w:rsidR="008B2EA7" w:rsidRPr="00184C19" w:rsidRDefault="008B2EA7">
            <w:pPr>
              <w:widowControl w:val="0"/>
              <w:spacing w:before="5" w:after="0" w:line="240" w:lineRule="auto"/>
              <w:rPr>
                <w:rFonts w:eastAsia="Arial Narrow" w:cs="Arial Narrow"/>
                <w:b/>
                <w:bCs/>
                <w:spacing w:val="0"/>
              </w:rPr>
            </w:pPr>
          </w:p>
        </w:tc>
        <w:tc>
          <w:tcPr>
            <w:tcW w:w="1717" w:type="dxa"/>
            <w:shd w:val="clear" w:color="auto" w:fill="auto"/>
          </w:tcPr>
          <w:p w14:paraId="496CD53C" w14:textId="77777777" w:rsidR="008B2EA7" w:rsidRPr="00184C19" w:rsidRDefault="008B2EA7">
            <w:pPr>
              <w:widowControl w:val="0"/>
              <w:spacing w:before="5" w:after="0" w:line="240" w:lineRule="auto"/>
              <w:rPr>
                <w:rFonts w:eastAsia="Arial Narrow" w:cs="Arial Narrow"/>
                <w:b/>
                <w:bCs/>
                <w:spacing w:val="0"/>
              </w:rPr>
            </w:pPr>
          </w:p>
        </w:tc>
        <w:tc>
          <w:tcPr>
            <w:tcW w:w="6037" w:type="dxa"/>
            <w:shd w:val="clear" w:color="auto" w:fill="auto"/>
          </w:tcPr>
          <w:p w14:paraId="6F3D3064" w14:textId="77777777" w:rsidR="008B2EA7" w:rsidRPr="00184C19" w:rsidRDefault="008B2EA7">
            <w:pPr>
              <w:widowControl w:val="0"/>
              <w:spacing w:before="5" w:after="0" w:line="240" w:lineRule="auto"/>
              <w:rPr>
                <w:rFonts w:eastAsia="Arial Narrow" w:cs="Arial Narrow"/>
                <w:b/>
                <w:bCs/>
                <w:spacing w:val="0"/>
              </w:rPr>
            </w:pPr>
          </w:p>
        </w:tc>
      </w:tr>
      <w:tr w:rsidR="008B2EA7" w:rsidRPr="00184C19" w14:paraId="148017F1" w14:textId="77777777" w:rsidTr="00184C19">
        <w:tc>
          <w:tcPr>
            <w:tcW w:w="1781" w:type="dxa"/>
            <w:shd w:val="clear" w:color="auto" w:fill="auto"/>
          </w:tcPr>
          <w:p w14:paraId="6E11DBE1" w14:textId="77777777" w:rsidR="008B2EA7" w:rsidRPr="00184C19" w:rsidRDefault="008B2EA7">
            <w:pPr>
              <w:widowControl w:val="0"/>
              <w:spacing w:before="5" w:after="0" w:line="240" w:lineRule="auto"/>
              <w:rPr>
                <w:rFonts w:eastAsia="Arial Narrow" w:cs="Arial Narrow"/>
                <w:b/>
                <w:bCs/>
                <w:spacing w:val="0"/>
              </w:rPr>
            </w:pPr>
          </w:p>
        </w:tc>
        <w:tc>
          <w:tcPr>
            <w:tcW w:w="1717" w:type="dxa"/>
            <w:shd w:val="clear" w:color="auto" w:fill="auto"/>
          </w:tcPr>
          <w:p w14:paraId="3E2D387B" w14:textId="77777777" w:rsidR="008B2EA7" w:rsidRPr="00184C19" w:rsidRDefault="008B2EA7">
            <w:pPr>
              <w:widowControl w:val="0"/>
              <w:spacing w:before="5" w:after="0" w:line="240" w:lineRule="auto"/>
              <w:rPr>
                <w:rFonts w:eastAsia="Arial Narrow" w:cs="Arial Narrow"/>
                <w:b/>
                <w:bCs/>
                <w:spacing w:val="0"/>
              </w:rPr>
            </w:pPr>
          </w:p>
        </w:tc>
        <w:tc>
          <w:tcPr>
            <w:tcW w:w="6037" w:type="dxa"/>
            <w:shd w:val="clear" w:color="auto" w:fill="auto"/>
          </w:tcPr>
          <w:p w14:paraId="67DC9655" w14:textId="77777777" w:rsidR="008B2EA7" w:rsidRPr="00184C19" w:rsidRDefault="008B2EA7">
            <w:pPr>
              <w:widowControl w:val="0"/>
              <w:spacing w:before="5" w:after="0" w:line="240" w:lineRule="auto"/>
              <w:rPr>
                <w:rFonts w:eastAsia="Arial Narrow" w:cs="Arial Narrow"/>
                <w:b/>
                <w:bCs/>
                <w:spacing w:val="0"/>
              </w:rPr>
            </w:pPr>
          </w:p>
        </w:tc>
      </w:tr>
      <w:tr w:rsidR="008B2EA7" w:rsidRPr="00184C19" w14:paraId="353F6DC9" w14:textId="77777777" w:rsidTr="00184C19">
        <w:tc>
          <w:tcPr>
            <w:tcW w:w="1781" w:type="dxa"/>
            <w:shd w:val="clear" w:color="auto" w:fill="auto"/>
          </w:tcPr>
          <w:p w14:paraId="112342F5" w14:textId="77777777" w:rsidR="008B2EA7" w:rsidRPr="00184C19" w:rsidRDefault="008B2EA7">
            <w:pPr>
              <w:widowControl w:val="0"/>
              <w:spacing w:before="5" w:after="0" w:line="240" w:lineRule="auto"/>
              <w:rPr>
                <w:rFonts w:eastAsia="Arial Narrow" w:cs="Arial Narrow"/>
                <w:b/>
                <w:bCs/>
                <w:spacing w:val="0"/>
              </w:rPr>
            </w:pPr>
          </w:p>
        </w:tc>
        <w:tc>
          <w:tcPr>
            <w:tcW w:w="1717" w:type="dxa"/>
            <w:shd w:val="clear" w:color="auto" w:fill="auto"/>
          </w:tcPr>
          <w:p w14:paraId="10CC72A5" w14:textId="77777777" w:rsidR="008B2EA7" w:rsidRPr="00184C19" w:rsidRDefault="008B2EA7">
            <w:pPr>
              <w:widowControl w:val="0"/>
              <w:spacing w:before="5" w:after="0" w:line="240" w:lineRule="auto"/>
              <w:rPr>
                <w:rFonts w:eastAsia="Arial Narrow" w:cs="Arial Narrow"/>
                <w:b/>
                <w:bCs/>
                <w:spacing w:val="0"/>
              </w:rPr>
            </w:pPr>
          </w:p>
        </w:tc>
        <w:tc>
          <w:tcPr>
            <w:tcW w:w="6037" w:type="dxa"/>
            <w:shd w:val="clear" w:color="auto" w:fill="auto"/>
          </w:tcPr>
          <w:p w14:paraId="0E56DBEB" w14:textId="77777777" w:rsidR="008B2EA7" w:rsidRPr="00184C19" w:rsidRDefault="008B2EA7">
            <w:pPr>
              <w:widowControl w:val="0"/>
              <w:spacing w:before="5" w:after="0" w:line="240" w:lineRule="auto"/>
              <w:rPr>
                <w:rFonts w:eastAsia="Arial Narrow" w:cs="Arial Narrow"/>
                <w:b/>
                <w:bCs/>
                <w:spacing w:val="0"/>
              </w:rPr>
            </w:pPr>
          </w:p>
        </w:tc>
      </w:tr>
      <w:tr w:rsidR="008B2EA7" w:rsidRPr="00184C19" w14:paraId="77A5A572" w14:textId="77777777" w:rsidTr="00184C19">
        <w:tc>
          <w:tcPr>
            <w:tcW w:w="1781" w:type="dxa"/>
            <w:shd w:val="clear" w:color="auto" w:fill="auto"/>
          </w:tcPr>
          <w:p w14:paraId="5D638053" w14:textId="77777777" w:rsidR="008B2EA7" w:rsidRPr="00184C19" w:rsidRDefault="008B2EA7">
            <w:pPr>
              <w:widowControl w:val="0"/>
              <w:spacing w:before="5" w:after="0" w:line="240" w:lineRule="auto"/>
              <w:rPr>
                <w:rFonts w:eastAsia="Arial Narrow" w:cs="Arial Narrow"/>
                <w:b/>
                <w:bCs/>
                <w:spacing w:val="0"/>
              </w:rPr>
            </w:pPr>
          </w:p>
        </w:tc>
        <w:tc>
          <w:tcPr>
            <w:tcW w:w="1717" w:type="dxa"/>
            <w:shd w:val="clear" w:color="auto" w:fill="auto"/>
          </w:tcPr>
          <w:p w14:paraId="4D3ED4DB" w14:textId="77777777" w:rsidR="008B2EA7" w:rsidRPr="00184C19" w:rsidRDefault="008B2EA7">
            <w:pPr>
              <w:widowControl w:val="0"/>
              <w:spacing w:before="5" w:after="0" w:line="240" w:lineRule="auto"/>
              <w:rPr>
                <w:rFonts w:eastAsia="Arial Narrow" w:cs="Arial Narrow"/>
                <w:b/>
                <w:bCs/>
                <w:spacing w:val="0"/>
              </w:rPr>
            </w:pPr>
          </w:p>
        </w:tc>
        <w:tc>
          <w:tcPr>
            <w:tcW w:w="6037" w:type="dxa"/>
            <w:shd w:val="clear" w:color="auto" w:fill="auto"/>
          </w:tcPr>
          <w:p w14:paraId="7E78B431" w14:textId="77777777" w:rsidR="008B2EA7" w:rsidRPr="00184C19" w:rsidRDefault="008B2EA7">
            <w:pPr>
              <w:widowControl w:val="0"/>
              <w:spacing w:before="5" w:after="0" w:line="240" w:lineRule="auto"/>
              <w:rPr>
                <w:rFonts w:eastAsia="Arial Narrow" w:cs="Arial Narrow"/>
                <w:b/>
                <w:bCs/>
                <w:spacing w:val="0"/>
              </w:rPr>
            </w:pPr>
          </w:p>
        </w:tc>
      </w:tr>
      <w:tr w:rsidR="008B2EA7" w:rsidRPr="00184C19" w14:paraId="3FA902BE" w14:textId="77777777" w:rsidTr="00184C19">
        <w:tc>
          <w:tcPr>
            <w:tcW w:w="1781" w:type="dxa"/>
            <w:shd w:val="clear" w:color="auto" w:fill="auto"/>
          </w:tcPr>
          <w:p w14:paraId="28C90B1D" w14:textId="77777777" w:rsidR="008B2EA7" w:rsidRPr="00184C19" w:rsidRDefault="008B2EA7">
            <w:pPr>
              <w:widowControl w:val="0"/>
              <w:spacing w:before="5" w:after="0" w:line="240" w:lineRule="auto"/>
              <w:rPr>
                <w:rFonts w:eastAsia="Arial Narrow" w:cs="Arial Narrow"/>
                <w:b/>
                <w:bCs/>
                <w:spacing w:val="0"/>
              </w:rPr>
            </w:pPr>
          </w:p>
        </w:tc>
        <w:tc>
          <w:tcPr>
            <w:tcW w:w="1717" w:type="dxa"/>
            <w:shd w:val="clear" w:color="auto" w:fill="auto"/>
          </w:tcPr>
          <w:p w14:paraId="43BC2563" w14:textId="77777777" w:rsidR="008B2EA7" w:rsidRPr="00184C19" w:rsidRDefault="008B2EA7">
            <w:pPr>
              <w:widowControl w:val="0"/>
              <w:spacing w:before="5" w:after="0" w:line="240" w:lineRule="auto"/>
              <w:rPr>
                <w:rFonts w:eastAsia="Arial Narrow" w:cs="Arial Narrow"/>
                <w:b/>
                <w:bCs/>
                <w:spacing w:val="0"/>
              </w:rPr>
            </w:pPr>
          </w:p>
        </w:tc>
        <w:tc>
          <w:tcPr>
            <w:tcW w:w="6037" w:type="dxa"/>
            <w:shd w:val="clear" w:color="auto" w:fill="auto"/>
          </w:tcPr>
          <w:p w14:paraId="23F3163E" w14:textId="77777777" w:rsidR="008B2EA7" w:rsidRPr="00184C19" w:rsidRDefault="008B2EA7">
            <w:pPr>
              <w:widowControl w:val="0"/>
              <w:spacing w:before="5" w:after="0" w:line="240" w:lineRule="auto"/>
              <w:rPr>
                <w:rFonts w:eastAsia="Arial Narrow" w:cs="Arial Narrow"/>
                <w:b/>
                <w:bCs/>
                <w:spacing w:val="0"/>
              </w:rPr>
            </w:pPr>
          </w:p>
        </w:tc>
      </w:tr>
      <w:tr w:rsidR="008B2EA7" w:rsidRPr="00184C19" w14:paraId="6B39C1E8" w14:textId="77777777" w:rsidTr="00184C19">
        <w:tc>
          <w:tcPr>
            <w:tcW w:w="1781" w:type="dxa"/>
            <w:shd w:val="clear" w:color="auto" w:fill="auto"/>
          </w:tcPr>
          <w:p w14:paraId="51DB1208" w14:textId="77777777" w:rsidR="008B2EA7" w:rsidRPr="00184C19" w:rsidRDefault="008B2EA7">
            <w:pPr>
              <w:widowControl w:val="0"/>
              <w:spacing w:before="5" w:after="0" w:line="240" w:lineRule="auto"/>
              <w:rPr>
                <w:rFonts w:eastAsia="Arial Narrow" w:cs="Arial Narrow"/>
                <w:b/>
                <w:bCs/>
                <w:spacing w:val="0"/>
              </w:rPr>
            </w:pPr>
          </w:p>
        </w:tc>
        <w:tc>
          <w:tcPr>
            <w:tcW w:w="1717" w:type="dxa"/>
            <w:shd w:val="clear" w:color="auto" w:fill="auto"/>
          </w:tcPr>
          <w:p w14:paraId="5C4FA308" w14:textId="77777777" w:rsidR="008B2EA7" w:rsidRPr="00184C19" w:rsidRDefault="008B2EA7">
            <w:pPr>
              <w:widowControl w:val="0"/>
              <w:spacing w:before="5" w:after="0" w:line="240" w:lineRule="auto"/>
              <w:rPr>
                <w:rFonts w:eastAsia="Arial Narrow" w:cs="Arial Narrow"/>
                <w:b/>
                <w:bCs/>
                <w:spacing w:val="0"/>
              </w:rPr>
            </w:pPr>
          </w:p>
        </w:tc>
        <w:tc>
          <w:tcPr>
            <w:tcW w:w="6037" w:type="dxa"/>
            <w:shd w:val="clear" w:color="auto" w:fill="auto"/>
          </w:tcPr>
          <w:p w14:paraId="762E59D9" w14:textId="77777777" w:rsidR="008B2EA7" w:rsidRPr="00184C19" w:rsidRDefault="008B2EA7">
            <w:pPr>
              <w:widowControl w:val="0"/>
              <w:spacing w:before="5" w:after="0" w:line="240" w:lineRule="auto"/>
              <w:rPr>
                <w:rFonts w:eastAsia="Arial Narrow" w:cs="Arial Narrow"/>
                <w:b/>
                <w:bCs/>
                <w:spacing w:val="0"/>
              </w:rPr>
            </w:pPr>
          </w:p>
        </w:tc>
      </w:tr>
      <w:tr w:rsidR="000B28C2" w:rsidRPr="00B77F0C" w14:paraId="1175D95A" w14:textId="77777777" w:rsidTr="00184C19">
        <w:tc>
          <w:tcPr>
            <w:tcW w:w="1781" w:type="dxa"/>
            <w:shd w:val="clear" w:color="auto" w:fill="auto"/>
          </w:tcPr>
          <w:p w14:paraId="101A7555" w14:textId="77777777" w:rsidR="000B28C2" w:rsidRPr="00184C19" w:rsidRDefault="000B28C2">
            <w:pPr>
              <w:widowControl w:val="0"/>
              <w:spacing w:before="5" w:after="0" w:line="240" w:lineRule="auto"/>
              <w:rPr>
                <w:rFonts w:eastAsia="Arial Narrow" w:cs="Arial Narrow"/>
                <w:b/>
                <w:spacing w:val="0"/>
              </w:rPr>
            </w:pPr>
          </w:p>
        </w:tc>
        <w:tc>
          <w:tcPr>
            <w:tcW w:w="1717" w:type="dxa"/>
            <w:shd w:val="clear" w:color="auto" w:fill="auto"/>
          </w:tcPr>
          <w:p w14:paraId="62140535" w14:textId="77777777" w:rsidR="000B28C2" w:rsidRPr="00184C19" w:rsidRDefault="000B28C2">
            <w:pPr>
              <w:widowControl w:val="0"/>
              <w:spacing w:before="5" w:after="0" w:line="240" w:lineRule="auto"/>
              <w:rPr>
                <w:rFonts w:eastAsia="Arial Narrow" w:cs="Arial Narrow"/>
                <w:b/>
                <w:spacing w:val="0"/>
              </w:rPr>
            </w:pPr>
          </w:p>
        </w:tc>
        <w:tc>
          <w:tcPr>
            <w:tcW w:w="6037" w:type="dxa"/>
            <w:shd w:val="clear" w:color="auto" w:fill="auto"/>
          </w:tcPr>
          <w:p w14:paraId="3518BF76" w14:textId="77777777" w:rsidR="000B28C2" w:rsidRPr="00184C19" w:rsidRDefault="000B28C2">
            <w:pPr>
              <w:widowControl w:val="0"/>
              <w:spacing w:before="5" w:after="0" w:line="240" w:lineRule="auto"/>
              <w:rPr>
                <w:rFonts w:eastAsia="Arial Narrow" w:cs="Arial Narrow"/>
                <w:b/>
                <w:spacing w:val="0"/>
              </w:rPr>
            </w:pPr>
          </w:p>
        </w:tc>
      </w:tr>
      <w:tr w:rsidR="000B28C2" w:rsidRPr="00B77F0C" w14:paraId="44A17323" w14:textId="77777777" w:rsidTr="00184C19">
        <w:tc>
          <w:tcPr>
            <w:tcW w:w="1781" w:type="dxa"/>
            <w:shd w:val="clear" w:color="auto" w:fill="auto"/>
          </w:tcPr>
          <w:p w14:paraId="7120101C" w14:textId="77777777" w:rsidR="000B28C2" w:rsidRPr="00184C19" w:rsidRDefault="000B28C2">
            <w:pPr>
              <w:widowControl w:val="0"/>
              <w:spacing w:before="5" w:after="0" w:line="240" w:lineRule="auto"/>
              <w:rPr>
                <w:rFonts w:eastAsia="Arial Narrow" w:cs="Arial Narrow"/>
                <w:b/>
                <w:spacing w:val="0"/>
              </w:rPr>
            </w:pPr>
          </w:p>
        </w:tc>
        <w:tc>
          <w:tcPr>
            <w:tcW w:w="1717" w:type="dxa"/>
            <w:shd w:val="clear" w:color="auto" w:fill="auto"/>
          </w:tcPr>
          <w:p w14:paraId="7616E7C6" w14:textId="77777777" w:rsidR="000B28C2" w:rsidRPr="00184C19" w:rsidRDefault="000B28C2">
            <w:pPr>
              <w:widowControl w:val="0"/>
              <w:spacing w:before="5" w:after="0" w:line="240" w:lineRule="auto"/>
              <w:rPr>
                <w:rFonts w:eastAsia="Arial Narrow" w:cs="Arial Narrow"/>
                <w:b/>
                <w:spacing w:val="0"/>
              </w:rPr>
            </w:pPr>
          </w:p>
        </w:tc>
        <w:tc>
          <w:tcPr>
            <w:tcW w:w="6037" w:type="dxa"/>
            <w:shd w:val="clear" w:color="auto" w:fill="auto"/>
          </w:tcPr>
          <w:p w14:paraId="67C67C75" w14:textId="77777777" w:rsidR="000B28C2" w:rsidRPr="00184C19" w:rsidRDefault="000B28C2">
            <w:pPr>
              <w:widowControl w:val="0"/>
              <w:spacing w:before="5" w:after="0" w:line="240" w:lineRule="auto"/>
              <w:rPr>
                <w:rFonts w:eastAsia="Arial Narrow" w:cs="Arial Narrow"/>
                <w:b/>
                <w:spacing w:val="0"/>
              </w:rPr>
            </w:pPr>
          </w:p>
        </w:tc>
      </w:tr>
      <w:tr w:rsidR="000B28C2" w:rsidRPr="00B77F0C" w14:paraId="7ABAAFA7" w14:textId="77777777" w:rsidTr="00184C19">
        <w:tc>
          <w:tcPr>
            <w:tcW w:w="1781" w:type="dxa"/>
            <w:shd w:val="clear" w:color="auto" w:fill="auto"/>
          </w:tcPr>
          <w:p w14:paraId="00CAEF5E" w14:textId="77777777" w:rsidR="000B28C2" w:rsidRPr="00184C19" w:rsidRDefault="000B28C2">
            <w:pPr>
              <w:widowControl w:val="0"/>
              <w:spacing w:before="5" w:after="0" w:line="240" w:lineRule="auto"/>
              <w:rPr>
                <w:rFonts w:eastAsia="Arial Narrow" w:cs="Arial Narrow"/>
                <w:b/>
                <w:spacing w:val="0"/>
              </w:rPr>
            </w:pPr>
          </w:p>
        </w:tc>
        <w:tc>
          <w:tcPr>
            <w:tcW w:w="1717" w:type="dxa"/>
            <w:shd w:val="clear" w:color="auto" w:fill="auto"/>
          </w:tcPr>
          <w:p w14:paraId="044DA0F9" w14:textId="77777777" w:rsidR="000B28C2" w:rsidRPr="00184C19" w:rsidRDefault="000B28C2">
            <w:pPr>
              <w:widowControl w:val="0"/>
              <w:spacing w:before="5" w:after="0" w:line="240" w:lineRule="auto"/>
              <w:rPr>
                <w:rFonts w:eastAsia="Arial Narrow" w:cs="Arial Narrow"/>
                <w:b/>
                <w:spacing w:val="0"/>
              </w:rPr>
            </w:pPr>
          </w:p>
        </w:tc>
        <w:tc>
          <w:tcPr>
            <w:tcW w:w="6037" w:type="dxa"/>
            <w:shd w:val="clear" w:color="auto" w:fill="auto"/>
          </w:tcPr>
          <w:p w14:paraId="3125304C" w14:textId="77777777" w:rsidR="000B28C2" w:rsidRPr="00184C19" w:rsidRDefault="000B28C2">
            <w:pPr>
              <w:widowControl w:val="0"/>
              <w:spacing w:before="5" w:after="0" w:line="240" w:lineRule="auto"/>
              <w:rPr>
                <w:rFonts w:eastAsia="Arial Narrow" w:cs="Arial Narrow"/>
                <w:b/>
                <w:spacing w:val="0"/>
              </w:rPr>
            </w:pPr>
          </w:p>
        </w:tc>
      </w:tr>
      <w:tr w:rsidR="000B28C2" w:rsidRPr="00B77F0C" w14:paraId="3008D86B" w14:textId="77777777" w:rsidTr="00184C19">
        <w:tc>
          <w:tcPr>
            <w:tcW w:w="1781" w:type="dxa"/>
            <w:shd w:val="clear" w:color="auto" w:fill="auto"/>
          </w:tcPr>
          <w:p w14:paraId="66F184A0" w14:textId="77777777" w:rsidR="000B28C2" w:rsidRPr="00184C19" w:rsidRDefault="000B28C2">
            <w:pPr>
              <w:widowControl w:val="0"/>
              <w:spacing w:before="5" w:after="0" w:line="240" w:lineRule="auto"/>
              <w:rPr>
                <w:rFonts w:eastAsia="Arial Narrow" w:cs="Arial Narrow"/>
                <w:b/>
                <w:spacing w:val="0"/>
              </w:rPr>
            </w:pPr>
          </w:p>
        </w:tc>
        <w:tc>
          <w:tcPr>
            <w:tcW w:w="1717" w:type="dxa"/>
            <w:shd w:val="clear" w:color="auto" w:fill="auto"/>
          </w:tcPr>
          <w:p w14:paraId="5A79E662" w14:textId="77777777" w:rsidR="000B28C2" w:rsidRPr="00184C19" w:rsidRDefault="000B28C2">
            <w:pPr>
              <w:widowControl w:val="0"/>
              <w:spacing w:before="5" w:after="0" w:line="240" w:lineRule="auto"/>
              <w:rPr>
                <w:rFonts w:eastAsia="Arial Narrow" w:cs="Arial Narrow"/>
                <w:b/>
                <w:spacing w:val="0"/>
              </w:rPr>
            </w:pPr>
          </w:p>
        </w:tc>
        <w:tc>
          <w:tcPr>
            <w:tcW w:w="6037" w:type="dxa"/>
            <w:shd w:val="clear" w:color="auto" w:fill="auto"/>
          </w:tcPr>
          <w:p w14:paraId="11882BE6" w14:textId="77777777" w:rsidR="000B28C2" w:rsidRPr="00184C19" w:rsidRDefault="000B28C2">
            <w:pPr>
              <w:widowControl w:val="0"/>
              <w:spacing w:before="5" w:after="0" w:line="240" w:lineRule="auto"/>
              <w:rPr>
                <w:rFonts w:eastAsia="Arial Narrow" w:cs="Arial Narrow"/>
                <w:b/>
                <w:spacing w:val="0"/>
              </w:rPr>
            </w:pPr>
          </w:p>
        </w:tc>
      </w:tr>
      <w:tr w:rsidR="000B28C2" w:rsidRPr="00B77F0C" w14:paraId="5E6BFE13" w14:textId="77777777" w:rsidTr="00184C19">
        <w:tc>
          <w:tcPr>
            <w:tcW w:w="1781" w:type="dxa"/>
            <w:shd w:val="clear" w:color="auto" w:fill="auto"/>
          </w:tcPr>
          <w:p w14:paraId="5E634DBF" w14:textId="77777777" w:rsidR="000B28C2" w:rsidRPr="00184C19" w:rsidRDefault="000B28C2">
            <w:pPr>
              <w:widowControl w:val="0"/>
              <w:spacing w:before="5" w:after="0" w:line="240" w:lineRule="auto"/>
              <w:rPr>
                <w:rFonts w:eastAsia="Arial Narrow" w:cs="Arial Narrow"/>
                <w:b/>
                <w:spacing w:val="0"/>
              </w:rPr>
            </w:pPr>
          </w:p>
        </w:tc>
        <w:tc>
          <w:tcPr>
            <w:tcW w:w="1717" w:type="dxa"/>
            <w:shd w:val="clear" w:color="auto" w:fill="auto"/>
          </w:tcPr>
          <w:p w14:paraId="22AA802A" w14:textId="77777777" w:rsidR="000B28C2" w:rsidRPr="00184C19" w:rsidRDefault="000B28C2">
            <w:pPr>
              <w:widowControl w:val="0"/>
              <w:spacing w:before="5" w:after="0" w:line="240" w:lineRule="auto"/>
              <w:rPr>
                <w:rFonts w:eastAsia="Arial Narrow" w:cs="Arial Narrow"/>
                <w:b/>
                <w:spacing w:val="0"/>
              </w:rPr>
            </w:pPr>
          </w:p>
        </w:tc>
        <w:tc>
          <w:tcPr>
            <w:tcW w:w="6037" w:type="dxa"/>
            <w:shd w:val="clear" w:color="auto" w:fill="auto"/>
          </w:tcPr>
          <w:p w14:paraId="020394B1" w14:textId="77777777" w:rsidR="000B28C2" w:rsidRPr="00184C19" w:rsidRDefault="000B28C2">
            <w:pPr>
              <w:widowControl w:val="0"/>
              <w:spacing w:before="5" w:after="0" w:line="240" w:lineRule="auto"/>
              <w:rPr>
                <w:rFonts w:eastAsia="Arial Narrow" w:cs="Arial Narrow"/>
                <w:b/>
                <w:spacing w:val="0"/>
              </w:rPr>
            </w:pPr>
          </w:p>
        </w:tc>
      </w:tr>
      <w:tr w:rsidR="000B28C2" w:rsidRPr="00B77F0C" w14:paraId="46EDE912" w14:textId="77777777" w:rsidTr="00184C19">
        <w:tc>
          <w:tcPr>
            <w:tcW w:w="1781" w:type="dxa"/>
            <w:shd w:val="clear" w:color="auto" w:fill="auto"/>
          </w:tcPr>
          <w:p w14:paraId="6FFF0C72" w14:textId="77777777" w:rsidR="000B28C2" w:rsidRPr="00184C19" w:rsidRDefault="000B28C2">
            <w:pPr>
              <w:widowControl w:val="0"/>
              <w:spacing w:before="5" w:after="0" w:line="240" w:lineRule="auto"/>
              <w:rPr>
                <w:rFonts w:eastAsia="Arial Narrow" w:cs="Arial Narrow"/>
                <w:b/>
                <w:spacing w:val="0"/>
              </w:rPr>
            </w:pPr>
          </w:p>
        </w:tc>
        <w:tc>
          <w:tcPr>
            <w:tcW w:w="1717" w:type="dxa"/>
            <w:shd w:val="clear" w:color="auto" w:fill="auto"/>
          </w:tcPr>
          <w:p w14:paraId="268D77B0" w14:textId="77777777" w:rsidR="000B28C2" w:rsidRPr="00184C19" w:rsidRDefault="000B28C2">
            <w:pPr>
              <w:widowControl w:val="0"/>
              <w:spacing w:before="5" w:after="0" w:line="240" w:lineRule="auto"/>
              <w:rPr>
                <w:rFonts w:eastAsia="Arial Narrow" w:cs="Arial Narrow"/>
                <w:b/>
                <w:spacing w:val="0"/>
              </w:rPr>
            </w:pPr>
          </w:p>
        </w:tc>
        <w:tc>
          <w:tcPr>
            <w:tcW w:w="6037" w:type="dxa"/>
            <w:shd w:val="clear" w:color="auto" w:fill="auto"/>
          </w:tcPr>
          <w:p w14:paraId="1C356199" w14:textId="77777777" w:rsidR="000B28C2" w:rsidRPr="00184C19" w:rsidRDefault="000B28C2">
            <w:pPr>
              <w:widowControl w:val="0"/>
              <w:spacing w:before="5" w:after="0" w:line="240" w:lineRule="auto"/>
              <w:rPr>
                <w:rFonts w:eastAsia="Arial Narrow" w:cs="Arial Narrow"/>
                <w:b/>
                <w:spacing w:val="0"/>
              </w:rPr>
            </w:pPr>
          </w:p>
        </w:tc>
      </w:tr>
    </w:tbl>
    <w:p w14:paraId="0664BF4B" w14:textId="05F954DF" w:rsidR="00AD1E0E" w:rsidRDefault="00AD1E0E" w:rsidP="00AD1E0E">
      <w:pPr>
        <w:spacing w:after="0" w:line="240" w:lineRule="auto"/>
      </w:pPr>
    </w:p>
    <w:p w14:paraId="493999DF" w14:textId="77777777" w:rsidR="00DA0E51" w:rsidRDefault="00DA0E51">
      <w:pPr>
        <w:spacing w:after="160" w:line="259" w:lineRule="auto"/>
      </w:pPr>
      <w:r>
        <w:br w:type="page"/>
      </w:r>
    </w:p>
    <w:p w14:paraId="5807808A" w14:textId="7E225B8D" w:rsidR="004F0EEA" w:rsidRPr="004032D2" w:rsidRDefault="00B77F0C" w:rsidP="004032D2">
      <w:pPr>
        <w:pStyle w:val="Heading2"/>
      </w:pPr>
      <w:bookmarkStart w:id="173" w:name="_5.8_–_Processing"/>
      <w:bookmarkStart w:id="174" w:name="_Toc180670877"/>
      <w:bookmarkStart w:id="175" w:name="_Toc187053005"/>
      <w:bookmarkStart w:id="176" w:name="_Toc187924186"/>
      <w:bookmarkEnd w:id="53"/>
      <w:bookmarkEnd w:id="173"/>
      <w:r>
        <w:lastRenderedPageBreak/>
        <w:t>6.1</w:t>
      </w:r>
      <w:r w:rsidR="004F0EEA">
        <w:t xml:space="preserve"> – Processing Merit System Protection Board (MSPB) Appeals</w:t>
      </w:r>
      <w:bookmarkEnd w:id="174"/>
      <w:bookmarkEnd w:id="175"/>
      <w:bookmarkEnd w:id="176"/>
    </w:p>
    <w:p w14:paraId="32DB17B5" w14:textId="743D1BA5" w:rsidR="004F0EEA" w:rsidRDefault="004F0EEA" w:rsidP="00160C74">
      <w:pPr>
        <w:spacing w:after="120"/>
      </w:pPr>
      <w:r>
        <w:t xml:space="preserve">The merits of any </w:t>
      </w:r>
      <w:r w:rsidR="003111DD">
        <w:t>suitability determination leading to an action</w:t>
      </w:r>
      <w:r>
        <w:t xml:space="preserve"> under 5 C</w:t>
      </w:r>
      <w:r w:rsidR="008A779F">
        <w:t>.</w:t>
      </w:r>
      <w:r>
        <w:t>F</w:t>
      </w:r>
      <w:r w:rsidR="008A779F">
        <w:t>.</w:t>
      </w:r>
      <w:r>
        <w:t>R</w:t>
      </w:r>
      <w:r w:rsidR="008A779F">
        <w:t>.</w:t>
      </w:r>
      <w:r>
        <w:t xml:space="preserve"> </w:t>
      </w:r>
      <w:r w:rsidR="008A779F">
        <w:t>part</w:t>
      </w:r>
      <w:r w:rsidR="1F4B3CE7" w:rsidRPr="548D0660">
        <w:rPr>
          <w:rFonts w:eastAsia="Times New Roman" w:cs="Times New Roman"/>
          <w:color w:val="000000" w:themeColor="text1"/>
        </w:rPr>
        <w:t xml:space="preserve"> </w:t>
      </w:r>
      <w:r>
        <w:t>731 may be appealed. Any person against whom an unfavorable suitability action is taken has a right to appeal to the Merit Systems Protection Board (MSPB).</w:t>
      </w:r>
    </w:p>
    <w:p w14:paraId="1A2951F9" w14:textId="564C1E79" w:rsidR="004F0EEA" w:rsidRDefault="003111DD" w:rsidP="00160C74">
      <w:pPr>
        <w:spacing w:after="0"/>
      </w:pPr>
      <w:r>
        <w:t>The burden of proof is on the agency taking the action.</w:t>
      </w:r>
    </w:p>
    <w:p w14:paraId="3E3A816B" w14:textId="28B49A7B" w:rsidR="004F0EEA" w:rsidRPr="00EF371F" w:rsidRDefault="00B77F0C" w:rsidP="00160C74">
      <w:pPr>
        <w:pStyle w:val="Heading3"/>
      </w:pPr>
      <w:bookmarkStart w:id="177" w:name="_Toc180670878"/>
      <w:bookmarkStart w:id="178" w:name="_Toc187053006"/>
      <w:bookmarkStart w:id="179" w:name="_Toc187924187"/>
      <w:r>
        <w:t>6.1.</w:t>
      </w:r>
      <w:r w:rsidR="004032D2">
        <w:t>1</w:t>
      </w:r>
      <w:r w:rsidR="004F0EEA">
        <w:t xml:space="preserve"> – Initiation of the Appeal</w:t>
      </w:r>
      <w:bookmarkEnd w:id="177"/>
      <w:bookmarkEnd w:id="178"/>
      <w:bookmarkEnd w:id="179"/>
      <w:r w:rsidR="004F0EEA">
        <w:t xml:space="preserve"> </w:t>
      </w:r>
    </w:p>
    <w:p w14:paraId="6583B60B" w14:textId="12394E48" w:rsidR="004F0EEA" w:rsidRDefault="004F0EEA" w:rsidP="001E3F14">
      <w:pPr>
        <w:spacing w:after="120"/>
      </w:pPr>
      <w:r>
        <w:t>Appeals</w:t>
      </w:r>
      <w:r w:rsidR="00EF20B8">
        <w:t xml:space="preserve"> must be</w:t>
      </w:r>
      <w:r>
        <w:t xml:space="preserve"> filed in accordance with 5 C</w:t>
      </w:r>
      <w:r w:rsidR="008A779F">
        <w:t>.</w:t>
      </w:r>
      <w:r>
        <w:t>F</w:t>
      </w:r>
      <w:r w:rsidR="008A779F">
        <w:t>.</w:t>
      </w:r>
      <w:r>
        <w:t>R</w:t>
      </w:r>
      <w:r w:rsidR="008A779F">
        <w:t>.</w:t>
      </w:r>
      <w:r>
        <w:t xml:space="preserve"> </w:t>
      </w:r>
      <w:r w:rsidR="008A779F">
        <w:rPr>
          <w:rFonts w:eastAsia="Times New Roman" w:cs="Times New Roman"/>
          <w:color w:val="000000" w:themeColor="text1"/>
        </w:rPr>
        <w:t>part</w:t>
      </w:r>
      <w:r>
        <w:t xml:space="preserve"> 1201</w:t>
      </w:r>
      <w:r w:rsidR="00EF20B8">
        <w:t>, which</w:t>
      </w:r>
      <w:r>
        <w:t xml:space="preserve"> provides the </w:t>
      </w:r>
      <w:r w:rsidR="00EF20B8">
        <w:t>appellant</w:t>
      </w:r>
      <w:r>
        <w:t xml:space="preserve"> with specific timeframes</w:t>
      </w:r>
      <w:r w:rsidR="00EF20B8">
        <w:t>.</w:t>
      </w:r>
    </w:p>
    <w:p w14:paraId="08EBAB7A" w14:textId="7E738B5A" w:rsidR="004F0EEA" w:rsidRDefault="004F0EEA" w:rsidP="001E3F14">
      <w:pPr>
        <w:spacing w:after="0"/>
      </w:pPr>
      <w:r>
        <w:t>Once the appeal is received by the MSPB, the MSPB will request an agency response file</w:t>
      </w:r>
      <w:r w:rsidR="00EF20B8">
        <w:t xml:space="preserve">. Agencies determine which office is responsible for preparation of the file. The guidance in Volume 5 of this Manual </w:t>
      </w:r>
      <w:r>
        <w:t xml:space="preserve">concerning information that is restricted from release </w:t>
      </w:r>
      <w:r w:rsidR="00EF20B8">
        <w:t>is applicable</w:t>
      </w:r>
      <w:r>
        <w:t>.</w:t>
      </w:r>
      <w:r w:rsidR="00F31015">
        <w:br/>
      </w:r>
    </w:p>
    <w:p w14:paraId="541E14E0" w14:textId="7D17F893" w:rsidR="004F0EEA" w:rsidRDefault="00B77F0C" w:rsidP="001E3F14">
      <w:pPr>
        <w:pStyle w:val="Heading3"/>
        <w:spacing w:before="0"/>
      </w:pPr>
      <w:bookmarkStart w:id="180" w:name="_Toc180670879"/>
      <w:bookmarkStart w:id="181" w:name="_Toc187053007"/>
      <w:bookmarkStart w:id="182" w:name="_Toc187924188"/>
      <w:r>
        <w:t>6</w:t>
      </w:r>
      <w:r w:rsidR="004F0EEA">
        <w:t>.</w:t>
      </w:r>
      <w:r>
        <w:t>1</w:t>
      </w:r>
      <w:r w:rsidR="004F0EEA">
        <w:t>.</w:t>
      </w:r>
      <w:r w:rsidR="004032D2">
        <w:t>2</w:t>
      </w:r>
      <w:r w:rsidR="004F0EEA">
        <w:t xml:space="preserve"> – Procedure Best Practices</w:t>
      </w:r>
      <w:bookmarkEnd w:id="180"/>
      <w:bookmarkEnd w:id="181"/>
      <w:bookmarkEnd w:id="182"/>
      <w:r w:rsidR="004F0EEA">
        <w:t xml:space="preserve"> </w:t>
      </w:r>
    </w:p>
    <w:p w14:paraId="2113C000" w14:textId="6B60F387" w:rsidR="004F0EEA" w:rsidRDefault="004F0EEA" w:rsidP="001103E2">
      <w:pPr>
        <w:spacing w:after="0"/>
      </w:pPr>
      <w:r>
        <w:t>The below practices may occur within a number of different offices within the agency. These best practices are provided for consideration.</w:t>
      </w:r>
    </w:p>
    <w:p w14:paraId="0DB985B0" w14:textId="50C43D5B" w:rsidR="004F0EEA" w:rsidRDefault="004F0EEA" w:rsidP="001103E2">
      <w:pPr>
        <w:pStyle w:val="ListParagraph"/>
        <w:numPr>
          <w:ilvl w:val="0"/>
          <w:numId w:val="10"/>
        </w:numPr>
        <w:spacing w:after="0"/>
        <w:contextualSpacing w:val="0"/>
      </w:pPr>
      <w:r>
        <w:t xml:space="preserve">Read the decision letter carefully to determine the basis for the suitability action. </w:t>
      </w:r>
    </w:p>
    <w:p w14:paraId="6D46DE6F" w14:textId="77777777" w:rsidR="00D6267B" w:rsidRDefault="004F0EEA" w:rsidP="001103E2">
      <w:pPr>
        <w:pStyle w:val="ListParagraph"/>
        <w:numPr>
          <w:ilvl w:val="0"/>
          <w:numId w:val="10"/>
        </w:numPr>
        <w:spacing w:after="0"/>
        <w:contextualSpacing w:val="0"/>
      </w:pPr>
      <w:r>
        <w:t xml:space="preserve">Determine whether the </w:t>
      </w:r>
      <w:r w:rsidR="00D6267B">
        <w:t>factors</w:t>
      </w:r>
      <w:r>
        <w:t xml:space="preserve"> </w:t>
      </w:r>
      <w:r w:rsidR="00D6267B">
        <w:t>and additional considerations have been properly.</w:t>
      </w:r>
    </w:p>
    <w:p w14:paraId="5ECF5F11" w14:textId="77777777" w:rsidR="00D6267B" w:rsidRDefault="00D6267B" w:rsidP="001103E2">
      <w:pPr>
        <w:pStyle w:val="ListParagraph"/>
        <w:numPr>
          <w:ilvl w:val="0"/>
          <w:numId w:val="10"/>
        </w:numPr>
        <w:spacing w:after="0"/>
        <w:contextualSpacing w:val="0"/>
      </w:pPr>
      <w:r>
        <w:t>Assess the strength of the evidence.</w:t>
      </w:r>
    </w:p>
    <w:p w14:paraId="214A6191" w14:textId="38514982" w:rsidR="004F0EEA" w:rsidRDefault="00D6267B" w:rsidP="001103E2">
      <w:pPr>
        <w:pStyle w:val="ListParagraph"/>
        <w:numPr>
          <w:ilvl w:val="0"/>
          <w:numId w:val="10"/>
        </w:numPr>
        <w:spacing w:after="0"/>
        <w:contextualSpacing w:val="0"/>
      </w:pPr>
      <w:r>
        <w:t>Consider the impact of the conduct on the integrity and efficiency of the service</w:t>
      </w:r>
      <w:r w:rsidR="004F0EEA">
        <w:t xml:space="preserve">. </w:t>
      </w:r>
    </w:p>
    <w:p w14:paraId="4E9A15C8" w14:textId="7D94F034" w:rsidR="00D6267B" w:rsidRDefault="004F0EEA" w:rsidP="004878C1">
      <w:pPr>
        <w:pStyle w:val="ListParagraph"/>
        <w:numPr>
          <w:ilvl w:val="0"/>
          <w:numId w:val="10"/>
        </w:numPr>
        <w:spacing w:after="0"/>
        <w:contextualSpacing w:val="0"/>
      </w:pPr>
      <w:r>
        <w:t xml:space="preserve">Review all documents </w:t>
      </w:r>
      <w:r w:rsidR="00D6267B">
        <w:t>that will be included in the appeal file carefully</w:t>
      </w:r>
      <w:r>
        <w:t xml:space="preserve">. </w:t>
      </w:r>
      <w:r w:rsidR="004878C1">
        <w:t xml:space="preserve">OPM and agencies must furnish all releasable materials that were considered in the determination and action.  If the appellant previously requested the materials relied upon after the action was proposed, the information released in the appeal response file should be consistent with that furnished to the appellant in response to the materials relied upon request. </w:t>
      </w:r>
    </w:p>
    <w:p w14:paraId="4975EF88" w14:textId="77777777" w:rsidR="00537A6F" w:rsidRDefault="00537A6F" w:rsidP="00537A6F">
      <w:pPr>
        <w:pStyle w:val="ListParagraph"/>
        <w:spacing w:after="0"/>
        <w:contextualSpacing w:val="0"/>
      </w:pPr>
    </w:p>
    <w:p w14:paraId="3BD6D4B1" w14:textId="2555C1F9" w:rsidR="004F0EEA" w:rsidRDefault="004F0EEA" w:rsidP="001103E2">
      <w:pPr>
        <w:spacing w:after="0"/>
      </w:pPr>
      <w:r>
        <w:t xml:space="preserve">Mailing/Filing. The MSPB, appellant, and appellant's representative will receive the original or a copy of the following documents, as appropriate: </w:t>
      </w:r>
    </w:p>
    <w:p w14:paraId="3BAA70BA" w14:textId="11EA7320" w:rsidR="004F0EEA" w:rsidRDefault="004F0EEA" w:rsidP="001103E2">
      <w:pPr>
        <w:pStyle w:val="ListParagraph"/>
        <w:numPr>
          <w:ilvl w:val="0"/>
          <w:numId w:val="9"/>
        </w:numPr>
        <w:spacing w:after="0"/>
        <w:contextualSpacing w:val="0"/>
      </w:pPr>
      <w:r>
        <w:t>Letter to the MSPB</w:t>
      </w:r>
    </w:p>
    <w:p w14:paraId="14B37507" w14:textId="6A4F548F" w:rsidR="004F0EEA" w:rsidRDefault="004F0EEA" w:rsidP="001103E2">
      <w:pPr>
        <w:pStyle w:val="ListParagraph"/>
        <w:numPr>
          <w:ilvl w:val="0"/>
          <w:numId w:val="9"/>
        </w:numPr>
        <w:spacing w:after="0"/>
        <w:contextualSpacing w:val="0"/>
      </w:pPr>
      <w:r>
        <w:t>Letter to Appellant</w:t>
      </w:r>
    </w:p>
    <w:p w14:paraId="439D3EC5" w14:textId="006BEC29" w:rsidR="004F0EEA" w:rsidRDefault="004F0EEA" w:rsidP="001103E2">
      <w:pPr>
        <w:pStyle w:val="ListParagraph"/>
        <w:numPr>
          <w:ilvl w:val="0"/>
          <w:numId w:val="9"/>
        </w:numPr>
        <w:spacing w:after="0"/>
        <w:contextualSpacing w:val="0"/>
      </w:pPr>
      <w:r>
        <w:t>Letter to Appellant's Representative</w:t>
      </w:r>
    </w:p>
    <w:p w14:paraId="027DF25F" w14:textId="474F9E30" w:rsidR="004F0EEA" w:rsidRDefault="004F0EEA" w:rsidP="001103E2">
      <w:pPr>
        <w:pStyle w:val="ListParagraph"/>
        <w:numPr>
          <w:ilvl w:val="0"/>
          <w:numId w:val="9"/>
        </w:numPr>
        <w:spacing w:after="0"/>
        <w:contextualSpacing w:val="0"/>
      </w:pPr>
      <w:r>
        <w:t>Designation of Agency Representative Form</w:t>
      </w:r>
    </w:p>
    <w:p w14:paraId="34C7E215" w14:textId="5474613E" w:rsidR="004F0EEA" w:rsidRDefault="004F0EEA" w:rsidP="001103E2">
      <w:pPr>
        <w:pStyle w:val="ListParagraph"/>
        <w:numPr>
          <w:ilvl w:val="0"/>
          <w:numId w:val="9"/>
        </w:numPr>
        <w:spacing w:after="0"/>
        <w:contextualSpacing w:val="0"/>
      </w:pPr>
      <w:r>
        <w:t>Certificate of Service</w:t>
      </w:r>
    </w:p>
    <w:p w14:paraId="7339029D" w14:textId="56B7303B" w:rsidR="004F0EEA" w:rsidRDefault="004F0EEA" w:rsidP="001103E2">
      <w:pPr>
        <w:pStyle w:val="ListParagraph"/>
        <w:numPr>
          <w:ilvl w:val="0"/>
          <w:numId w:val="9"/>
        </w:numPr>
        <w:spacing w:after="0"/>
        <w:contextualSpacing w:val="0"/>
      </w:pPr>
      <w:r>
        <w:t>Certification of True and Correct Copies</w:t>
      </w:r>
      <w:r w:rsidR="00561B28">
        <w:t>,</w:t>
      </w:r>
      <w:r>
        <w:t xml:space="preserve"> and</w:t>
      </w:r>
    </w:p>
    <w:p w14:paraId="6D2640B6" w14:textId="641CB3A7" w:rsidR="004F0EEA" w:rsidRDefault="004F0EEA" w:rsidP="001103E2">
      <w:pPr>
        <w:pStyle w:val="ListParagraph"/>
        <w:numPr>
          <w:ilvl w:val="0"/>
          <w:numId w:val="9"/>
        </w:numPr>
        <w:spacing w:after="0"/>
        <w:contextualSpacing w:val="0"/>
      </w:pPr>
      <w:r>
        <w:t>Agency Response File tabbed with Table of Contents on top</w:t>
      </w:r>
      <w:r w:rsidR="003111DD">
        <w:t>.</w:t>
      </w:r>
    </w:p>
    <w:p w14:paraId="6E2D8A3A" w14:textId="77777777" w:rsidR="003111DD" w:rsidRDefault="003111DD" w:rsidP="003111DD">
      <w:pPr>
        <w:pStyle w:val="ListParagraph"/>
        <w:spacing w:after="0"/>
      </w:pPr>
    </w:p>
    <w:p w14:paraId="6F8D73BC" w14:textId="31E2A7A3" w:rsidR="004F0EEA" w:rsidRDefault="00B77F0C" w:rsidP="002744FB">
      <w:pPr>
        <w:pStyle w:val="Heading3"/>
        <w:spacing w:before="0"/>
      </w:pPr>
      <w:bookmarkStart w:id="183" w:name="_Toc180670880"/>
      <w:bookmarkStart w:id="184" w:name="_Toc187053008"/>
      <w:bookmarkStart w:id="185" w:name="_Toc187924189"/>
      <w:r>
        <w:lastRenderedPageBreak/>
        <w:t>6</w:t>
      </w:r>
      <w:r w:rsidR="004F0EEA">
        <w:t>.</w:t>
      </w:r>
      <w:r>
        <w:t>1</w:t>
      </w:r>
      <w:r w:rsidR="004F0EEA">
        <w:t>.</w:t>
      </w:r>
      <w:r w:rsidR="004032D2">
        <w:t>3</w:t>
      </w:r>
      <w:r w:rsidR="004F0EEA">
        <w:t xml:space="preserve"> – Additional Processing After the MSPB Decision</w:t>
      </w:r>
      <w:bookmarkEnd w:id="183"/>
      <w:bookmarkEnd w:id="184"/>
      <w:bookmarkEnd w:id="185"/>
    </w:p>
    <w:p w14:paraId="209DE99C" w14:textId="7612EF06" w:rsidR="004F0EEA" w:rsidRDefault="004F0EEA" w:rsidP="002744FB">
      <w:pPr>
        <w:spacing w:after="120"/>
      </w:pPr>
      <w:r>
        <w:t>If the MSPB finds that one or more of the charges are supported by a preponderance of the evidence, regardless of whether all specifications are sustained, it will affirm the suitability determination, per</w:t>
      </w:r>
      <w:r w:rsidR="008A779F">
        <w:t xml:space="preserve"> 5 C.F.R. §</w:t>
      </w:r>
      <w:r>
        <w:t xml:space="preserve"> 731.501(b). If the MSPB sustains fewer than </w:t>
      </w:r>
      <w:r w:rsidR="00E66833">
        <w:t>all</w:t>
      </w:r>
      <w:r>
        <w:t xml:space="preserve"> the charges, it is not permitted to alter the action or debarment imposed. Rather, the MSPB must remand the case to the agency to determine whether the action taken is still appropriate based on the sustained charge(s). The agency must hold in abeyance a decision on the remand until the person has exhausted all rights to seek review of the MSPB decision, including court review. </w:t>
      </w:r>
    </w:p>
    <w:p w14:paraId="6517D851" w14:textId="04D78B13" w:rsidR="004F0EEA" w:rsidRDefault="004F0EEA" w:rsidP="002744FB">
      <w:pPr>
        <w:spacing w:after="0"/>
      </w:pPr>
      <w:r>
        <w:t xml:space="preserve">MSPB reversals or modifications of the original decision will contain instructions for compliance with the MSPB decision. After complying with the notification requirements, the agency will update </w:t>
      </w:r>
      <w:r w:rsidR="00D6267B">
        <w:t>the federal personnel vetting record, as appropriate.</w:t>
      </w:r>
    </w:p>
    <w:p w14:paraId="4021D08F" w14:textId="0E63877D" w:rsidR="00764566" w:rsidRPr="000B28C2" w:rsidRDefault="00764566" w:rsidP="000B28C2">
      <w:pPr>
        <w:spacing w:after="160" w:line="259" w:lineRule="auto"/>
        <w:rPr>
          <w:rFonts w:eastAsia="Source Serif Pro" w:cs="Source Serif Pro"/>
        </w:rPr>
        <w:sectPr w:rsidR="00764566" w:rsidRPr="000B28C2" w:rsidSect="006736CA">
          <w:pgSz w:w="12240" w:h="15840"/>
          <w:pgMar w:top="1440" w:right="1440" w:bottom="1440" w:left="1440" w:header="720" w:footer="720" w:gutter="0"/>
          <w:cols w:space="720"/>
          <w:docGrid w:linePitch="360"/>
        </w:sectPr>
      </w:pPr>
    </w:p>
    <w:p w14:paraId="30277123" w14:textId="39C0E166" w:rsidR="00727F07" w:rsidRPr="00B77F0C" w:rsidRDefault="00727F07" w:rsidP="004032D2">
      <w:pPr>
        <w:pStyle w:val="H1"/>
      </w:pPr>
      <w:bookmarkStart w:id="186" w:name="_Toc187053009"/>
      <w:bookmarkStart w:id="187" w:name="_Toc187924190"/>
      <w:r w:rsidRPr="00B77F0C">
        <w:lastRenderedPageBreak/>
        <w:t xml:space="preserve">Volume </w:t>
      </w:r>
      <w:r w:rsidR="00B77F0C" w:rsidRPr="00B77F0C">
        <w:t>7</w:t>
      </w:r>
      <w:r w:rsidRPr="00B77F0C">
        <w:t>:</w:t>
      </w:r>
      <w:r w:rsidRPr="00B77F0C">
        <w:rPr>
          <w:spacing w:val="-15"/>
        </w:rPr>
        <w:t xml:space="preserve"> </w:t>
      </w:r>
      <w:r w:rsidRPr="00B77F0C">
        <w:rPr>
          <w:spacing w:val="-1"/>
        </w:rPr>
        <w:t xml:space="preserve"> </w:t>
      </w:r>
      <w:r w:rsidR="00B77F0C" w:rsidRPr="00B77F0C">
        <w:t>Administrative Matters</w:t>
      </w:r>
      <w:bookmarkEnd w:id="186"/>
      <w:bookmarkEnd w:id="187"/>
      <w:r w:rsidRPr="00B77F0C">
        <w:t xml:space="preserve"> </w:t>
      </w:r>
    </w:p>
    <w:p w14:paraId="5CCEE893" w14:textId="77777777" w:rsidR="00727F07" w:rsidRPr="002F6A44" w:rsidRDefault="00727F07" w:rsidP="00727F07">
      <w:pPr>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Sans Serif Collection"/>
          <w:spacing w:val="0"/>
          <w:sz w:val="30"/>
          <w:szCs w:val="30"/>
        </w:rPr>
      </w:pPr>
    </w:p>
    <w:p w14:paraId="08BD4006" w14:textId="77777777" w:rsidR="00727F07" w:rsidRPr="00B77F0C" w:rsidRDefault="00727F07" w:rsidP="002F6A44">
      <w:pPr>
        <w:widowControl w:val="0"/>
        <w:spacing w:after="0" w:line="240" w:lineRule="auto"/>
        <w:rPr>
          <w:rFonts w:ascii="Source Sans Pro" w:eastAsia="Arial Narrow" w:hAnsi="Source Sans Pro" w:cs="Arial Narrow"/>
          <w:b/>
          <w:bCs/>
          <w:spacing w:val="0"/>
          <w:sz w:val="30"/>
          <w:szCs w:val="30"/>
        </w:rPr>
      </w:pPr>
      <w:r w:rsidRPr="00B77F0C">
        <w:rPr>
          <w:rFonts w:ascii="Source Sans Pro" w:eastAsia="Arial Narrow" w:hAnsi="Source Sans Pro" w:cs="Arial Narrow"/>
          <w:b/>
          <w:bCs/>
          <w:spacing w:val="0"/>
          <w:sz w:val="30"/>
          <w:szCs w:val="30"/>
        </w:rPr>
        <w:t>Change Record</w:t>
      </w:r>
    </w:p>
    <w:p w14:paraId="5F4DD9E1" w14:textId="77777777" w:rsidR="00727F07" w:rsidRPr="002F6A44" w:rsidRDefault="00727F07" w:rsidP="00727F07">
      <w:pPr>
        <w:widowControl w:val="0"/>
        <w:spacing w:before="5" w:after="0" w:line="240" w:lineRule="auto"/>
        <w:rPr>
          <w:rFonts w:eastAsia="Arial Narrow" w:cs="Arial Narrow"/>
          <w:spacing w:val="0"/>
          <w:sz w:val="30"/>
          <w:szCs w:val="30"/>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1717"/>
        <w:gridCol w:w="5947"/>
      </w:tblGrid>
      <w:tr w:rsidR="00727F07" w:rsidRPr="00B77F0C" w14:paraId="1E581EF7" w14:textId="77777777" w:rsidTr="002F6A44">
        <w:tc>
          <w:tcPr>
            <w:tcW w:w="1781" w:type="dxa"/>
            <w:shd w:val="clear" w:color="auto" w:fill="auto"/>
          </w:tcPr>
          <w:p w14:paraId="48AC7351" w14:textId="77777777" w:rsidR="00727F07" w:rsidRPr="00B77F0C" w:rsidRDefault="00727F07">
            <w:pPr>
              <w:widowControl w:val="0"/>
              <w:spacing w:before="5" w:after="0" w:line="240" w:lineRule="auto"/>
              <w:rPr>
                <w:rFonts w:ascii="Source Sans Pro" w:eastAsia="Arial Narrow" w:hAnsi="Source Sans Pro" w:cs="Arial Narrow"/>
                <w:b/>
                <w:bCs/>
                <w:spacing w:val="0"/>
                <w:sz w:val="30"/>
                <w:szCs w:val="30"/>
              </w:rPr>
            </w:pPr>
            <w:r w:rsidRPr="00B77F0C">
              <w:rPr>
                <w:rFonts w:ascii="Source Sans Pro" w:eastAsia="Arial Narrow" w:hAnsi="Source Sans Pro" w:cs="Arial Narrow"/>
                <w:b/>
                <w:bCs/>
                <w:spacing w:val="0"/>
                <w:sz w:val="30"/>
                <w:szCs w:val="30"/>
              </w:rPr>
              <w:t>Date</w:t>
            </w:r>
          </w:p>
        </w:tc>
        <w:tc>
          <w:tcPr>
            <w:tcW w:w="1717" w:type="dxa"/>
            <w:shd w:val="clear" w:color="auto" w:fill="auto"/>
          </w:tcPr>
          <w:p w14:paraId="1AD0B774" w14:textId="39A24DA0" w:rsidR="00727F07" w:rsidRPr="00B77F0C" w:rsidRDefault="00727F07">
            <w:pPr>
              <w:widowControl w:val="0"/>
              <w:spacing w:before="5" w:after="0" w:line="240" w:lineRule="auto"/>
              <w:rPr>
                <w:rFonts w:ascii="Source Sans Pro" w:eastAsia="Arial Narrow" w:hAnsi="Source Sans Pro" w:cs="Arial Narrow"/>
                <w:b/>
                <w:bCs/>
                <w:spacing w:val="0"/>
                <w:sz w:val="30"/>
                <w:szCs w:val="30"/>
              </w:rPr>
            </w:pPr>
            <w:r w:rsidRPr="00B77F0C">
              <w:rPr>
                <w:rFonts w:ascii="Source Sans Pro" w:eastAsia="Arial Narrow" w:hAnsi="Source Sans Pro" w:cs="Arial Narrow"/>
                <w:b/>
                <w:bCs/>
                <w:spacing w:val="0"/>
                <w:sz w:val="30"/>
                <w:szCs w:val="30"/>
              </w:rPr>
              <w:t>Page</w:t>
            </w:r>
            <w:r w:rsidR="00623A85">
              <w:rPr>
                <w:rFonts w:ascii="Source Sans Pro" w:eastAsia="Arial Narrow" w:hAnsi="Source Sans Pro" w:cs="Arial Narrow"/>
                <w:b/>
                <w:bCs/>
                <w:spacing w:val="0"/>
                <w:sz w:val="30"/>
                <w:szCs w:val="30"/>
              </w:rPr>
              <w:t>(s)</w:t>
            </w:r>
            <w:r w:rsidRPr="00B77F0C">
              <w:rPr>
                <w:rFonts w:ascii="Source Sans Pro" w:eastAsia="Arial Narrow" w:hAnsi="Source Sans Pro" w:cs="Arial Narrow"/>
                <w:b/>
                <w:bCs/>
                <w:spacing w:val="0"/>
                <w:sz w:val="30"/>
                <w:szCs w:val="30"/>
              </w:rPr>
              <w:t xml:space="preserve"> Affected</w:t>
            </w:r>
          </w:p>
        </w:tc>
        <w:tc>
          <w:tcPr>
            <w:tcW w:w="5947" w:type="dxa"/>
            <w:shd w:val="clear" w:color="auto" w:fill="auto"/>
          </w:tcPr>
          <w:p w14:paraId="541AAC7D" w14:textId="3748EB33" w:rsidR="00727F07" w:rsidRPr="00B77F0C" w:rsidRDefault="00727F07">
            <w:pPr>
              <w:widowControl w:val="0"/>
              <w:spacing w:before="5" w:after="0" w:line="240" w:lineRule="auto"/>
              <w:rPr>
                <w:rFonts w:ascii="Source Sans Pro" w:eastAsia="Arial Narrow" w:hAnsi="Source Sans Pro" w:cs="Arial Narrow"/>
                <w:b/>
                <w:bCs/>
                <w:spacing w:val="0"/>
                <w:sz w:val="30"/>
                <w:szCs w:val="30"/>
              </w:rPr>
            </w:pPr>
            <w:r w:rsidRPr="00B77F0C">
              <w:rPr>
                <w:rFonts w:ascii="Source Sans Pro" w:eastAsia="Arial Narrow" w:hAnsi="Source Sans Pro" w:cs="Arial Narrow"/>
                <w:b/>
                <w:bCs/>
                <w:spacing w:val="0"/>
                <w:sz w:val="30"/>
                <w:szCs w:val="30"/>
              </w:rPr>
              <w:t>Description of Revision</w:t>
            </w:r>
            <w:r w:rsidR="00623A85">
              <w:rPr>
                <w:rFonts w:ascii="Source Sans Pro" w:eastAsia="Arial Narrow" w:hAnsi="Source Sans Pro" w:cs="Arial Narrow"/>
                <w:b/>
                <w:bCs/>
                <w:spacing w:val="0"/>
                <w:sz w:val="30"/>
                <w:szCs w:val="30"/>
              </w:rPr>
              <w:t>(s)</w:t>
            </w:r>
          </w:p>
        </w:tc>
      </w:tr>
      <w:tr w:rsidR="00727F07" w:rsidRPr="00B77F0C" w14:paraId="5A251879" w14:textId="77777777" w:rsidTr="002F6A44">
        <w:tc>
          <w:tcPr>
            <w:tcW w:w="1781" w:type="dxa"/>
            <w:shd w:val="clear" w:color="auto" w:fill="auto"/>
          </w:tcPr>
          <w:p w14:paraId="35A89E42" w14:textId="77777777" w:rsidR="00727F07" w:rsidRPr="002F6A44" w:rsidRDefault="00727F07">
            <w:pPr>
              <w:widowControl w:val="0"/>
              <w:spacing w:before="5" w:after="0" w:line="240" w:lineRule="auto"/>
              <w:rPr>
                <w:rFonts w:eastAsia="Arial Narrow" w:cs="Arial Narrow"/>
                <w:b/>
                <w:spacing w:val="0"/>
              </w:rPr>
            </w:pPr>
          </w:p>
        </w:tc>
        <w:tc>
          <w:tcPr>
            <w:tcW w:w="1717" w:type="dxa"/>
            <w:shd w:val="clear" w:color="auto" w:fill="auto"/>
          </w:tcPr>
          <w:p w14:paraId="20CC0A1E" w14:textId="77777777" w:rsidR="00727F07" w:rsidRPr="002F6A44" w:rsidRDefault="00727F07">
            <w:pPr>
              <w:widowControl w:val="0"/>
              <w:spacing w:before="5" w:after="0" w:line="240" w:lineRule="auto"/>
              <w:rPr>
                <w:rFonts w:eastAsia="Arial Narrow" w:cs="Arial Narrow"/>
                <w:b/>
                <w:spacing w:val="0"/>
              </w:rPr>
            </w:pPr>
          </w:p>
        </w:tc>
        <w:tc>
          <w:tcPr>
            <w:tcW w:w="5947" w:type="dxa"/>
            <w:shd w:val="clear" w:color="auto" w:fill="auto"/>
          </w:tcPr>
          <w:p w14:paraId="4EACE6F5" w14:textId="77777777" w:rsidR="00727F07" w:rsidRPr="002F6A44" w:rsidRDefault="00727F07">
            <w:pPr>
              <w:widowControl w:val="0"/>
              <w:spacing w:before="5" w:after="0" w:line="240" w:lineRule="auto"/>
              <w:rPr>
                <w:rFonts w:eastAsia="Arial Narrow" w:cs="Arial Narrow"/>
                <w:b/>
                <w:spacing w:val="0"/>
              </w:rPr>
            </w:pPr>
          </w:p>
        </w:tc>
      </w:tr>
      <w:tr w:rsidR="00727F07" w:rsidRPr="00B77F0C" w14:paraId="7BA3E2AC" w14:textId="77777777" w:rsidTr="002F6A44">
        <w:tc>
          <w:tcPr>
            <w:tcW w:w="1781" w:type="dxa"/>
            <w:shd w:val="clear" w:color="auto" w:fill="auto"/>
          </w:tcPr>
          <w:p w14:paraId="5C28C122" w14:textId="77777777" w:rsidR="00727F07" w:rsidRPr="002F6A44" w:rsidRDefault="00727F07">
            <w:pPr>
              <w:widowControl w:val="0"/>
              <w:spacing w:before="5" w:after="0" w:line="240" w:lineRule="auto"/>
              <w:rPr>
                <w:rFonts w:eastAsia="Arial Narrow" w:cs="Arial Narrow"/>
                <w:b/>
                <w:spacing w:val="0"/>
              </w:rPr>
            </w:pPr>
          </w:p>
        </w:tc>
        <w:tc>
          <w:tcPr>
            <w:tcW w:w="1717" w:type="dxa"/>
            <w:shd w:val="clear" w:color="auto" w:fill="auto"/>
          </w:tcPr>
          <w:p w14:paraId="228613C3" w14:textId="77777777" w:rsidR="00727F07" w:rsidRPr="002F6A44" w:rsidRDefault="00727F07">
            <w:pPr>
              <w:widowControl w:val="0"/>
              <w:spacing w:before="5" w:after="0" w:line="240" w:lineRule="auto"/>
              <w:rPr>
                <w:rFonts w:eastAsia="Arial Narrow" w:cs="Arial Narrow"/>
                <w:b/>
                <w:spacing w:val="0"/>
              </w:rPr>
            </w:pPr>
          </w:p>
        </w:tc>
        <w:tc>
          <w:tcPr>
            <w:tcW w:w="5947" w:type="dxa"/>
            <w:shd w:val="clear" w:color="auto" w:fill="auto"/>
          </w:tcPr>
          <w:p w14:paraId="0CB0F496" w14:textId="77777777" w:rsidR="00727F07" w:rsidRPr="002F6A44" w:rsidRDefault="00727F07">
            <w:pPr>
              <w:widowControl w:val="0"/>
              <w:spacing w:before="5" w:after="0" w:line="240" w:lineRule="auto"/>
              <w:rPr>
                <w:rFonts w:eastAsia="Arial Narrow" w:cs="Arial Narrow"/>
                <w:b/>
                <w:spacing w:val="0"/>
              </w:rPr>
            </w:pPr>
          </w:p>
        </w:tc>
      </w:tr>
      <w:tr w:rsidR="00A45B34" w:rsidRPr="002F6A44" w14:paraId="23EF0423" w14:textId="77777777" w:rsidTr="002F6A44">
        <w:tc>
          <w:tcPr>
            <w:tcW w:w="1781" w:type="dxa"/>
            <w:shd w:val="clear" w:color="auto" w:fill="auto"/>
          </w:tcPr>
          <w:p w14:paraId="5C1C6D40" w14:textId="77777777" w:rsidR="00A45B34" w:rsidRPr="002F6A44" w:rsidRDefault="00A45B34">
            <w:pPr>
              <w:widowControl w:val="0"/>
              <w:spacing w:before="5" w:after="0" w:line="240" w:lineRule="auto"/>
              <w:rPr>
                <w:rFonts w:eastAsia="Arial Narrow" w:cs="Arial Narrow"/>
                <w:b/>
                <w:bCs/>
                <w:spacing w:val="0"/>
              </w:rPr>
            </w:pPr>
          </w:p>
        </w:tc>
        <w:tc>
          <w:tcPr>
            <w:tcW w:w="1717" w:type="dxa"/>
            <w:shd w:val="clear" w:color="auto" w:fill="auto"/>
          </w:tcPr>
          <w:p w14:paraId="4998255D" w14:textId="77777777" w:rsidR="00A45B34" w:rsidRPr="002F6A44" w:rsidRDefault="00A45B34">
            <w:pPr>
              <w:widowControl w:val="0"/>
              <w:spacing w:before="5" w:after="0" w:line="240" w:lineRule="auto"/>
              <w:rPr>
                <w:rFonts w:eastAsia="Arial Narrow" w:cs="Arial Narrow"/>
                <w:b/>
                <w:bCs/>
                <w:spacing w:val="0"/>
              </w:rPr>
            </w:pPr>
          </w:p>
        </w:tc>
        <w:tc>
          <w:tcPr>
            <w:tcW w:w="5947" w:type="dxa"/>
            <w:shd w:val="clear" w:color="auto" w:fill="auto"/>
          </w:tcPr>
          <w:p w14:paraId="6CDE36F3" w14:textId="77777777" w:rsidR="00A45B34" w:rsidRPr="002F6A44" w:rsidRDefault="00A45B34">
            <w:pPr>
              <w:widowControl w:val="0"/>
              <w:spacing w:before="5" w:after="0" w:line="240" w:lineRule="auto"/>
              <w:rPr>
                <w:rFonts w:eastAsia="Arial Narrow" w:cs="Arial Narrow"/>
                <w:b/>
                <w:bCs/>
                <w:spacing w:val="0"/>
              </w:rPr>
            </w:pPr>
          </w:p>
        </w:tc>
      </w:tr>
      <w:tr w:rsidR="00A45B34" w:rsidRPr="002F6A44" w14:paraId="7A9F3CEA" w14:textId="77777777" w:rsidTr="002F6A44">
        <w:tc>
          <w:tcPr>
            <w:tcW w:w="1781" w:type="dxa"/>
            <w:shd w:val="clear" w:color="auto" w:fill="auto"/>
          </w:tcPr>
          <w:p w14:paraId="237E6FEF" w14:textId="77777777" w:rsidR="00A45B34" w:rsidRPr="002F6A44" w:rsidRDefault="00A45B34">
            <w:pPr>
              <w:widowControl w:val="0"/>
              <w:spacing w:before="5" w:after="0" w:line="240" w:lineRule="auto"/>
              <w:rPr>
                <w:rFonts w:eastAsia="Arial Narrow" w:cs="Arial Narrow"/>
                <w:b/>
                <w:bCs/>
                <w:spacing w:val="0"/>
              </w:rPr>
            </w:pPr>
          </w:p>
        </w:tc>
        <w:tc>
          <w:tcPr>
            <w:tcW w:w="1717" w:type="dxa"/>
            <w:shd w:val="clear" w:color="auto" w:fill="auto"/>
          </w:tcPr>
          <w:p w14:paraId="4498E6A9" w14:textId="77777777" w:rsidR="00A45B34" w:rsidRPr="002F6A44" w:rsidRDefault="00A45B34">
            <w:pPr>
              <w:widowControl w:val="0"/>
              <w:spacing w:before="5" w:after="0" w:line="240" w:lineRule="auto"/>
              <w:rPr>
                <w:rFonts w:eastAsia="Arial Narrow" w:cs="Arial Narrow"/>
                <w:b/>
                <w:bCs/>
                <w:spacing w:val="0"/>
              </w:rPr>
            </w:pPr>
          </w:p>
        </w:tc>
        <w:tc>
          <w:tcPr>
            <w:tcW w:w="5947" w:type="dxa"/>
            <w:shd w:val="clear" w:color="auto" w:fill="auto"/>
          </w:tcPr>
          <w:p w14:paraId="38D5BC22" w14:textId="77777777" w:rsidR="00A45B34" w:rsidRPr="002F6A44" w:rsidRDefault="00A45B34">
            <w:pPr>
              <w:widowControl w:val="0"/>
              <w:spacing w:before="5" w:after="0" w:line="240" w:lineRule="auto"/>
              <w:rPr>
                <w:rFonts w:eastAsia="Arial Narrow" w:cs="Arial Narrow"/>
                <w:b/>
                <w:bCs/>
                <w:spacing w:val="0"/>
              </w:rPr>
            </w:pPr>
          </w:p>
        </w:tc>
      </w:tr>
      <w:tr w:rsidR="00A45B34" w:rsidRPr="002F6A44" w14:paraId="4293E852" w14:textId="77777777" w:rsidTr="002F6A44">
        <w:tc>
          <w:tcPr>
            <w:tcW w:w="1781" w:type="dxa"/>
            <w:shd w:val="clear" w:color="auto" w:fill="auto"/>
          </w:tcPr>
          <w:p w14:paraId="49F0D1AC" w14:textId="77777777" w:rsidR="00A45B34" w:rsidRPr="002F6A44" w:rsidRDefault="00A45B34">
            <w:pPr>
              <w:widowControl w:val="0"/>
              <w:spacing w:before="5" w:after="0" w:line="240" w:lineRule="auto"/>
              <w:rPr>
                <w:rFonts w:eastAsia="Arial Narrow" w:cs="Arial Narrow"/>
                <w:b/>
                <w:bCs/>
                <w:spacing w:val="0"/>
              </w:rPr>
            </w:pPr>
          </w:p>
        </w:tc>
        <w:tc>
          <w:tcPr>
            <w:tcW w:w="1717" w:type="dxa"/>
            <w:shd w:val="clear" w:color="auto" w:fill="auto"/>
          </w:tcPr>
          <w:p w14:paraId="36A88648" w14:textId="77777777" w:rsidR="00A45B34" w:rsidRPr="002F6A44" w:rsidRDefault="00A45B34">
            <w:pPr>
              <w:widowControl w:val="0"/>
              <w:spacing w:before="5" w:after="0" w:line="240" w:lineRule="auto"/>
              <w:rPr>
                <w:rFonts w:eastAsia="Arial Narrow" w:cs="Arial Narrow"/>
                <w:b/>
                <w:bCs/>
                <w:spacing w:val="0"/>
              </w:rPr>
            </w:pPr>
          </w:p>
        </w:tc>
        <w:tc>
          <w:tcPr>
            <w:tcW w:w="5947" w:type="dxa"/>
            <w:shd w:val="clear" w:color="auto" w:fill="auto"/>
          </w:tcPr>
          <w:p w14:paraId="7A3446FA" w14:textId="77777777" w:rsidR="00A45B34" w:rsidRPr="002F6A44" w:rsidRDefault="00A45B34">
            <w:pPr>
              <w:widowControl w:val="0"/>
              <w:spacing w:before="5" w:after="0" w:line="240" w:lineRule="auto"/>
              <w:rPr>
                <w:rFonts w:eastAsia="Arial Narrow" w:cs="Arial Narrow"/>
                <w:b/>
                <w:bCs/>
                <w:spacing w:val="0"/>
              </w:rPr>
            </w:pPr>
          </w:p>
        </w:tc>
      </w:tr>
      <w:tr w:rsidR="00A45B34" w:rsidRPr="002F6A44" w14:paraId="56E90709" w14:textId="77777777" w:rsidTr="002F6A44">
        <w:tc>
          <w:tcPr>
            <w:tcW w:w="1781" w:type="dxa"/>
            <w:shd w:val="clear" w:color="auto" w:fill="auto"/>
          </w:tcPr>
          <w:p w14:paraId="3F44633D" w14:textId="77777777" w:rsidR="00A45B34" w:rsidRPr="002F6A44" w:rsidRDefault="00A45B34">
            <w:pPr>
              <w:widowControl w:val="0"/>
              <w:spacing w:before="5" w:after="0" w:line="240" w:lineRule="auto"/>
              <w:rPr>
                <w:rFonts w:eastAsia="Arial Narrow" w:cs="Arial Narrow"/>
                <w:b/>
                <w:bCs/>
                <w:spacing w:val="0"/>
              </w:rPr>
            </w:pPr>
          </w:p>
        </w:tc>
        <w:tc>
          <w:tcPr>
            <w:tcW w:w="1717" w:type="dxa"/>
            <w:shd w:val="clear" w:color="auto" w:fill="auto"/>
          </w:tcPr>
          <w:p w14:paraId="3D9FDFA5" w14:textId="77777777" w:rsidR="00A45B34" w:rsidRPr="002F6A44" w:rsidRDefault="00A45B34">
            <w:pPr>
              <w:widowControl w:val="0"/>
              <w:spacing w:before="5" w:after="0" w:line="240" w:lineRule="auto"/>
              <w:rPr>
                <w:rFonts w:eastAsia="Arial Narrow" w:cs="Arial Narrow"/>
                <w:b/>
                <w:bCs/>
                <w:spacing w:val="0"/>
              </w:rPr>
            </w:pPr>
          </w:p>
        </w:tc>
        <w:tc>
          <w:tcPr>
            <w:tcW w:w="5947" w:type="dxa"/>
            <w:shd w:val="clear" w:color="auto" w:fill="auto"/>
          </w:tcPr>
          <w:p w14:paraId="39539788" w14:textId="77777777" w:rsidR="00A45B34" w:rsidRPr="002F6A44" w:rsidRDefault="00A45B34">
            <w:pPr>
              <w:widowControl w:val="0"/>
              <w:spacing w:before="5" w:after="0" w:line="240" w:lineRule="auto"/>
              <w:rPr>
                <w:rFonts w:eastAsia="Arial Narrow" w:cs="Arial Narrow"/>
                <w:b/>
                <w:bCs/>
                <w:spacing w:val="0"/>
              </w:rPr>
            </w:pPr>
          </w:p>
        </w:tc>
      </w:tr>
      <w:tr w:rsidR="00A45B34" w:rsidRPr="002F6A44" w14:paraId="6A680939" w14:textId="77777777" w:rsidTr="002F6A44">
        <w:tc>
          <w:tcPr>
            <w:tcW w:w="1781" w:type="dxa"/>
            <w:shd w:val="clear" w:color="auto" w:fill="auto"/>
          </w:tcPr>
          <w:p w14:paraId="44BFBAD0" w14:textId="77777777" w:rsidR="00A45B34" w:rsidRPr="002F6A44" w:rsidRDefault="00A45B34">
            <w:pPr>
              <w:widowControl w:val="0"/>
              <w:spacing w:before="5" w:after="0" w:line="240" w:lineRule="auto"/>
              <w:rPr>
                <w:rFonts w:eastAsia="Arial Narrow" w:cs="Arial Narrow"/>
                <w:b/>
                <w:bCs/>
                <w:spacing w:val="0"/>
              </w:rPr>
            </w:pPr>
          </w:p>
        </w:tc>
        <w:tc>
          <w:tcPr>
            <w:tcW w:w="1717" w:type="dxa"/>
            <w:shd w:val="clear" w:color="auto" w:fill="auto"/>
          </w:tcPr>
          <w:p w14:paraId="0A6E8F8A" w14:textId="77777777" w:rsidR="00A45B34" w:rsidRPr="002F6A44" w:rsidRDefault="00A45B34">
            <w:pPr>
              <w:widowControl w:val="0"/>
              <w:spacing w:before="5" w:after="0" w:line="240" w:lineRule="auto"/>
              <w:rPr>
                <w:rFonts w:eastAsia="Arial Narrow" w:cs="Arial Narrow"/>
                <w:b/>
                <w:bCs/>
                <w:spacing w:val="0"/>
              </w:rPr>
            </w:pPr>
          </w:p>
        </w:tc>
        <w:tc>
          <w:tcPr>
            <w:tcW w:w="5947" w:type="dxa"/>
            <w:shd w:val="clear" w:color="auto" w:fill="auto"/>
          </w:tcPr>
          <w:p w14:paraId="4E8549AB" w14:textId="77777777" w:rsidR="00A45B34" w:rsidRPr="002F6A44" w:rsidRDefault="00A45B34">
            <w:pPr>
              <w:widowControl w:val="0"/>
              <w:spacing w:before="5" w:after="0" w:line="240" w:lineRule="auto"/>
              <w:rPr>
                <w:rFonts w:eastAsia="Arial Narrow" w:cs="Arial Narrow"/>
                <w:b/>
                <w:bCs/>
                <w:spacing w:val="0"/>
              </w:rPr>
            </w:pPr>
          </w:p>
        </w:tc>
      </w:tr>
      <w:tr w:rsidR="00A45B34" w:rsidRPr="002F6A44" w14:paraId="4CA3B116" w14:textId="77777777" w:rsidTr="002F6A44">
        <w:tc>
          <w:tcPr>
            <w:tcW w:w="1781" w:type="dxa"/>
            <w:shd w:val="clear" w:color="auto" w:fill="auto"/>
          </w:tcPr>
          <w:p w14:paraId="3436C353" w14:textId="77777777" w:rsidR="00A45B34" w:rsidRPr="002F6A44" w:rsidRDefault="00A45B34">
            <w:pPr>
              <w:widowControl w:val="0"/>
              <w:spacing w:before="5" w:after="0" w:line="240" w:lineRule="auto"/>
              <w:rPr>
                <w:rFonts w:eastAsia="Arial Narrow" w:cs="Arial Narrow"/>
                <w:b/>
                <w:bCs/>
                <w:spacing w:val="0"/>
              </w:rPr>
            </w:pPr>
          </w:p>
        </w:tc>
        <w:tc>
          <w:tcPr>
            <w:tcW w:w="1717" w:type="dxa"/>
            <w:shd w:val="clear" w:color="auto" w:fill="auto"/>
          </w:tcPr>
          <w:p w14:paraId="33F0050B" w14:textId="77777777" w:rsidR="00A45B34" w:rsidRPr="002F6A44" w:rsidRDefault="00A45B34">
            <w:pPr>
              <w:widowControl w:val="0"/>
              <w:spacing w:before="5" w:after="0" w:line="240" w:lineRule="auto"/>
              <w:rPr>
                <w:rFonts w:eastAsia="Arial Narrow" w:cs="Arial Narrow"/>
                <w:b/>
                <w:bCs/>
                <w:spacing w:val="0"/>
              </w:rPr>
            </w:pPr>
          </w:p>
        </w:tc>
        <w:tc>
          <w:tcPr>
            <w:tcW w:w="5947" w:type="dxa"/>
            <w:shd w:val="clear" w:color="auto" w:fill="auto"/>
          </w:tcPr>
          <w:p w14:paraId="19FE5230" w14:textId="77777777" w:rsidR="00A45B34" w:rsidRPr="002F6A44" w:rsidRDefault="00A45B34">
            <w:pPr>
              <w:widowControl w:val="0"/>
              <w:spacing w:before="5" w:after="0" w:line="240" w:lineRule="auto"/>
              <w:rPr>
                <w:rFonts w:eastAsia="Arial Narrow" w:cs="Arial Narrow"/>
                <w:b/>
                <w:bCs/>
                <w:spacing w:val="0"/>
              </w:rPr>
            </w:pPr>
          </w:p>
        </w:tc>
      </w:tr>
      <w:tr w:rsidR="00727F07" w:rsidRPr="00B77F0C" w14:paraId="29EF8758" w14:textId="77777777" w:rsidTr="002F6A44">
        <w:tc>
          <w:tcPr>
            <w:tcW w:w="1781" w:type="dxa"/>
            <w:shd w:val="clear" w:color="auto" w:fill="auto"/>
          </w:tcPr>
          <w:p w14:paraId="593BEBED" w14:textId="77777777" w:rsidR="00727F07" w:rsidRPr="002F6A44" w:rsidRDefault="00727F07">
            <w:pPr>
              <w:widowControl w:val="0"/>
              <w:spacing w:before="5" w:after="0" w:line="240" w:lineRule="auto"/>
              <w:rPr>
                <w:rFonts w:eastAsia="Arial Narrow" w:cs="Arial Narrow"/>
                <w:b/>
                <w:spacing w:val="0"/>
              </w:rPr>
            </w:pPr>
          </w:p>
        </w:tc>
        <w:tc>
          <w:tcPr>
            <w:tcW w:w="1717" w:type="dxa"/>
            <w:shd w:val="clear" w:color="auto" w:fill="auto"/>
          </w:tcPr>
          <w:p w14:paraId="6AD6BE48" w14:textId="77777777" w:rsidR="00727F07" w:rsidRPr="002F6A44" w:rsidRDefault="00727F07">
            <w:pPr>
              <w:widowControl w:val="0"/>
              <w:spacing w:before="5" w:after="0" w:line="240" w:lineRule="auto"/>
              <w:rPr>
                <w:rFonts w:eastAsia="Arial Narrow" w:cs="Arial Narrow"/>
                <w:b/>
                <w:spacing w:val="0"/>
              </w:rPr>
            </w:pPr>
          </w:p>
        </w:tc>
        <w:tc>
          <w:tcPr>
            <w:tcW w:w="5947" w:type="dxa"/>
            <w:shd w:val="clear" w:color="auto" w:fill="auto"/>
          </w:tcPr>
          <w:p w14:paraId="4B4ED288" w14:textId="77777777" w:rsidR="00727F07" w:rsidRPr="002F6A44" w:rsidRDefault="00727F07">
            <w:pPr>
              <w:widowControl w:val="0"/>
              <w:spacing w:before="5" w:after="0" w:line="240" w:lineRule="auto"/>
              <w:rPr>
                <w:rFonts w:eastAsia="Arial Narrow" w:cs="Arial Narrow"/>
                <w:b/>
                <w:spacing w:val="0"/>
              </w:rPr>
            </w:pPr>
          </w:p>
        </w:tc>
      </w:tr>
      <w:tr w:rsidR="00727F07" w:rsidRPr="00B77F0C" w14:paraId="2473FE77" w14:textId="77777777" w:rsidTr="002F6A44">
        <w:tc>
          <w:tcPr>
            <w:tcW w:w="1781" w:type="dxa"/>
            <w:shd w:val="clear" w:color="auto" w:fill="auto"/>
          </w:tcPr>
          <w:p w14:paraId="65280FEF" w14:textId="77777777" w:rsidR="00727F07" w:rsidRPr="002F6A44" w:rsidRDefault="00727F07">
            <w:pPr>
              <w:widowControl w:val="0"/>
              <w:spacing w:before="5" w:after="0" w:line="240" w:lineRule="auto"/>
              <w:rPr>
                <w:rFonts w:eastAsia="Arial Narrow" w:cs="Arial Narrow"/>
                <w:b/>
                <w:spacing w:val="0"/>
              </w:rPr>
            </w:pPr>
          </w:p>
        </w:tc>
        <w:tc>
          <w:tcPr>
            <w:tcW w:w="1717" w:type="dxa"/>
            <w:shd w:val="clear" w:color="auto" w:fill="auto"/>
          </w:tcPr>
          <w:p w14:paraId="4CF84347" w14:textId="77777777" w:rsidR="00727F07" w:rsidRPr="002F6A44" w:rsidRDefault="00727F07">
            <w:pPr>
              <w:widowControl w:val="0"/>
              <w:spacing w:before="5" w:after="0" w:line="240" w:lineRule="auto"/>
              <w:rPr>
                <w:rFonts w:eastAsia="Arial Narrow" w:cs="Arial Narrow"/>
                <w:b/>
                <w:spacing w:val="0"/>
              </w:rPr>
            </w:pPr>
          </w:p>
        </w:tc>
        <w:tc>
          <w:tcPr>
            <w:tcW w:w="5947" w:type="dxa"/>
            <w:shd w:val="clear" w:color="auto" w:fill="auto"/>
          </w:tcPr>
          <w:p w14:paraId="6B39D381" w14:textId="77777777" w:rsidR="00727F07" w:rsidRPr="002F6A44" w:rsidRDefault="00727F07">
            <w:pPr>
              <w:widowControl w:val="0"/>
              <w:spacing w:before="5" w:after="0" w:line="240" w:lineRule="auto"/>
              <w:rPr>
                <w:rFonts w:eastAsia="Arial Narrow" w:cs="Arial Narrow"/>
                <w:b/>
                <w:spacing w:val="0"/>
              </w:rPr>
            </w:pPr>
          </w:p>
        </w:tc>
      </w:tr>
      <w:tr w:rsidR="00727F07" w:rsidRPr="00B77F0C" w14:paraId="07772B97" w14:textId="77777777" w:rsidTr="002F6A44">
        <w:tc>
          <w:tcPr>
            <w:tcW w:w="1781" w:type="dxa"/>
            <w:shd w:val="clear" w:color="auto" w:fill="auto"/>
          </w:tcPr>
          <w:p w14:paraId="10F5E5CA" w14:textId="77777777" w:rsidR="00727F07" w:rsidRPr="002F6A44" w:rsidRDefault="00727F07">
            <w:pPr>
              <w:widowControl w:val="0"/>
              <w:spacing w:before="5" w:after="0" w:line="240" w:lineRule="auto"/>
              <w:rPr>
                <w:rFonts w:eastAsia="Arial Narrow" w:cs="Arial Narrow"/>
                <w:b/>
                <w:spacing w:val="0"/>
              </w:rPr>
            </w:pPr>
          </w:p>
        </w:tc>
        <w:tc>
          <w:tcPr>
            <w:tcW w:w="1717" w:type="dxa"/>
            <w:shd w:val="clear" w:color="auto" w:fill="auto"/>
          </w:tcPr>
          <w:p w14:paraId="447D1F98" w14:textId="77777777" w:rsidR="00727F07" w:rsidRPr="002F6A44" w:rsidRDefault="00727F07">
            <w:pPr>
              <w:widowControl w:val="0"/>
              <w:spacing w:before="5" w:after="0" w:line="240" w:lineRule="auto"/>
              <w:rPr>
                <w:rFonts w:eastAsia="Arial Narrow" w:cs="Arial Narrow"/>
                <w:b/>
                <w:spacing w:val="0"/>
              </w:rPr>
            </w:pPr>
          </w:p>
        </w:tc>
        <w:tc>
          <w:tcPr>
            <w:tcW w:w="5947" w:type="dxa"/>
            <w:shd w:val="clear" w:color="auto" w:fill="auto"/>
          </w:tcPr>
          <w:p w14:paraId="0F31E051" w14:textId="77777777" w:rsidR="00727F07" w:rsidRPr="002F6A44" w:rsidRDefault="00727F07">
            <w:pPr>
              <w:widowControl w:val="0"/>
              <w:spacing w:before="5" w:after="0" w:line="240" w:lineRule="auto"/>
              <w:rPr>
                <w:rFonts w:eastAsia="Arial Narrow" w:cs="Arial Narrow"/>
                <w:b/>
                <w:spacing w:val="0"/>
              </w:rPr>
            </w:pPr>
          </w:p>
        </w:tc>
      </w:tr>
      <w:tr w:rsidR="00727F07" w:rsidRPr="00B57F94" w14:paraId="3F402093" w14:textId="77777777" w:rsidTr="002F6A44">
        <w:tc>
          <w:tcPr>
            <w:tcW w:w="1781" w:type="dxa"/>
            <w:shd w:val="clear" w:color="auto" w:fill="auto"/>
          </w:tcPr>
          <w:p w14:paraId="01D0011F" w14:textId="77777777" w:rsidR="00727F07" w:rsidRPr="002F6A44" w:rsidRDefault="00727F07">
            <w:pPr>
              <w:widowControl w:val="0"/>
              <w:spacing w:before="5" w:after="0" w:line="240" w:lineRule="auto"/>
              <w:rPr>
                <w:rFonts w:eastAsia="Arial Narrow" w:cs="Arial Narrow"/>
                <w:b/>
                <w:spacing w:val="0"/>
              </w:rPr>
            </w:pPr>
          </w:p>
        </w:tc>
        <w:tc>
          <w:tcPr>
            <w:tcW w:w="1717" w:type="dxa"/>
            <w:shd w:val="clear" w:color="auto" w:fill="auto"/>
          </w:tcPr>
          <w:p w14:paraId="23C7BDC2" w14:textId="77777777" w:rsidR="00727F07" w:rsidRPr="002F6A44" w:rsidRDefault="00727F07">
            <w:pPr>
              <w:widowControl w:val="0"/>
              <w:spacing w:before="5" w:after="0" w:line="240" w:lineRule="auto"/>
              <w:rPr>
                <w:rFonts w:eastAsia="Arial Narrow" w:cs="Arial Narrow"/>
                <w:b/>
                <w:spacing w:val="0"/>
              </w:rPr>
            </w:pPr>
          </w:p>
        </w:tc>
        <w:tc>
          <w:tcPr>
            <w:tcW w:w="5947" w:type="dxa"/>
            <w:shd w:val="clear" w:color="auto" w:fill="auto"/>
          </w:tcPr>
          <w:p w14:paraId="40C7777F" w14:textId="77777777" w:rsidR="00727F07" w:rsidRPr="002F6A44" w:rsidRDefault="00727F07">
            <w:pPr>
              <w:widowControl w:val="0"/>
              <w:spacing w:before="5" w:after="0" w:line="240" w:lineRule="auto"/>
              <w:rPr>
                <w:rFonts w:eastAsia="Arial Narrow" w:cs="Arial Narrow"/>
                <w:b/>
                <w:spacing w:val="0"/>
              </w:rPr>
            </w:pPr>
          </w:p>
        </w:tc>
      </w:tr>
      <w:tr w:rsidR="00727F07" w:rsidRPr="00B57F94" w14:paraId="59BCEE83" w14:textId="77777777" w:rsidTr="002F6A44">
        <w:tc>
          <w:tcPr>
            <w:tcW w:w="1781" w:type="dxa"/>
            <w:shd w:val="clear" w:color="auto" w:fill="auto"/>
          </w:tcPr>
          <w:p w14:paraId="1A2E6E4A" w14:textId="77777777" w:rsidR="00727F07" w:rsidRPr="002F6A44" w:rsidRDefault="00727F07">
            <w:pPr>
              <w:widowControl w:val="0"/>
              <w:spacing w:before="5" w:after="0" w:line="240" w:lineRule="auto"/>
              <w:rPr>
                <w:rFonts w:eastAsia="Arial Narrow" w:cs="Arial Narrow"/>
                <w:b/>
                <w:spacing w:val="0"/>
              </w:rPr>
            </w:pPr>
          </w:p>
        </w:tc>
        <w:tc>
          <w:tcPr>
            <w:tcW w:w="1717" w:type="dxa"/>
            <w:shd w:val="clear" w:color="auto" w:fill="auto"/>
          </w:tcPr>
          <w:p w14:paraId="0249B9EB" w14:textId="77777777" w:rsidR="00727F07" w:rsidRPr="002F6A44" w:rsidRDefault="00727F07">
            <w:pPr>
              <w:widowControl w:val="0"/>
              <w:spacing w:before="5" w:after="0" w:line="240" w:lineRule="auto"/>
              <w:rPr>
                <w:rFonts w:eastAsia="Arial Narrow" w:cs="Arial Narrow"/>
                <w:b/>
                <w:spacing w:val="0"/>
              </w:rPr>
            </w:pPr>
          </w:p>
        </w:tc>
        <w:tc>
          <w:tcPr>
            <w:tcW w:w="5947" w:type="dxa"/>
            <w:shd w:val="clear" w:color="auto" w:fill="auto"/>
          </w:tcPr>
          <w:p w14:paraId="616E2637" w14:textId="77777777" w:rsidR="00727F07" w:rsidRPr="002F6A44" w:rsidRDefault="00727F07">
            <w:pPr>
              <w:widowControl w:val="0"/>
              <w:spacing w:before="5" w:after="0" w:line="240" w:lineRule="auto"/>
              <w:rPr>
                <w:rFonts w:eastAsia="Arial Narrow" w:cs="Arial Narrow"/>
                <w:b/>
                <w:spacing w:val="0"/>
              </w:rPr>
            </w:pPr>
          </w:p>
        </w:tc>
      </w:tr>
      <w:tr w:rsidR="00727F07" w:rsidRPr="00B57F94" w14:paraId="2CA93233" w14:textId="77777777" w:rsidTr="002F6A44">
        <w:tc>
          <w:tcPr>
            <w:tcW w:w="1781" w:type="dxa"/>
            <w:shd w:val="clear" w:color="auto" w:fill="auto"/>
          </w:tcPr>
          <w:p w14:paraId="401702F6" w14:textId="77777777" w:rsidR="00727F07" w:rsidRPr="002F6A44" w:rsidRDefault="00727F07">
            <w:pPr>
              <w:widowControl w:val="0"/>
              <w:spacing w:before="5" w:after="0" w:line="240" w:lineRule="auto"/>
              <w:rPr>
                <w:rFonts w:eastAsia="Arial Narrow" w:cs="Arial Narrow"/>
                <w:b/>
                <w:spacing w:val="0"/>
              </w:rPr>
            </w:pPr>
          </w:p>
        </w:tc>
        <w:tc>
          <w:tcPr>
            <w:tcW w:w="1717" w:type="dxa"/>
            <w:shd w:val="clear" w:color="auto" w:fill="auto"/>
          </w:tcPr>
          <w:p w14:paraId="4DD97C5F" w14:textId="77777777" w:rsidR="00727F07" w:rsidRPr="002F6A44" w:rsidRDefault="00727F07">
            <w:pPr>
              <w:widowControl w:val="0"/>
              <w:spacing w:before="5" w:after="0" w:line="240" w:lineRule="auto"/>
              <w:rPr>
                <w:rFonts w:eastAsia="Arial Narrow" w:cs="Arial Narrow"/>
                <w:b/>
                <w:spacing w:val="0"/>
              </w:rPr>
            </w:pPr>
          </w:p>
        </w:tc>
        <w:tc>
          <w:tcPr>
            <w:tcW w:w="5947" w:type="dxa"/>
            <w:shd w:val="clear" w:color="auto" w:fill="auto"/>
          </w:tcPr>
          <w:p w14:paraId="2B851CA8" w14:textId="77777777" w:rsidR="00727F07" w:rsidRPr="002F6A44" w:rsidRDefault="00727F07">
            <w:pPr>
              <w:widowControl w:val="0"/>
              <w:spacing w:before="5" w:after="0" w:line="240" w:lineRule="auto"/>
              <w:rPr>
                <w:rFonts w:eastAsia="Arial Narrow" w:cs="Arial Narrow"/>
                <w:b/>
                <w:spacing w:val="0"/>
              </w:rPr>
            </w:pPr>
          </w:p>
        </w:tc>
      </w:tr>
      <w:tr w:rsidR="00727F07" w:rsidRPr="00B57F94" w14:paraId="21A6FD70" w14:textId="77777777" w:rsidTr="002F6A44">
        <w:tc>
          <w:tcPr>
            <w:tcW w:w="1781" w:type="dxa"/>
            <w:shd w:val="clear" w:color="auto" w:fill="auto"/>
          </w:tcPr>
          <w:p w14:paraId="71F787D8" w14:textId="77777777" w:rsidR="00727F07" w:rsidRPr="002F6A44" w:rsidRDefault="00727F07">
            <w:pPr>
              <w:widowControl w:val="0"/>
              <w:spacing w:before="5" w:after="0" w:line="240" w:lineRule="auto"/>
              <w:rPr>
                <w:rFonts w:eastAsia="Arial Narrow" w:cs="Arial Narrow"/>
                <w:b/>
                <w:spacing w:val="0"/>
              </w:rPr>
            </w:pPr>
          </w:p>
        </w:tc>
        <w:tc>
          <w:tcPr>
            <w:tcW w:w="1717" w:type="dxa"/>
            <w:shd w:val="clear" w:color="auto" w:fill="auto"/>
          </w:tcPr>
          <w:p w14:paraId="402367F3" w14:textId="77777777" w:rsidR="00727F07" w:rsidRPr="002F6A44" w:rsidRDefault="00727F07">
            <w:pPr>
              <w:widowControl w:val="0"/>
              <w:spacing w:before="5" w:after="0" w:line="240" w:lineRule="auto"/>
              <w:rPr>
                <w:rFonts w:eastAsia="Arial Narrow" w:cs="Arial Narrow"/>
                <w:b/>
                <w:spacing w:val="0"/>
              </w:rPr>
            </w:pPr>
          </w:p>
        </w:tc>
        <w:tc>
          <w:tcPr>
            <w:tcW w:w="5947" w:type="dxa"/>
            <w:shd w:val="clear" w:color="auto" w:fill="auto"/>
          </w:tcPr>
          <w:p w14:paraId="2957A022" w14:textId="77777777" w:rsidR="00727F07" w:rsidRPr="002F6A44" w:rsidRDefault="00727F07">
            <w:pPr>
              <w:widowControl w:val="0"/>
              <w:spacing w:before="5" w:after="0" w:line="240" w:lineRule="auto"/>
              <w:rPr>
                <w:rFonts w:eastAsia="Arial Narrow" w:cs="Arial Narrow"/>
                <w:b/>
                <w:spacing w:val="0"/>
              </w:rPr>
            </w:pPr>
          </w:p>
        </w:tc>
      </w:tr>
    </w:tbl>
    <w:p w14:paraId="3A132F0F" w14:textId="77777777" w:rsidR="00727F07" w:rsidRPr="00960C35" w:rsidRDefault="00727F07" w:rsidP="00727F07">
      <w:pPr>
        <w:spacing w:after="0" w:line="240" w:lineRule="auto"/>
        <w:rPr>
          <w:rFonts w:ascii="CG Times" w:eastAsia="Times New Roman" w:hAnsi="CG Times" w:cs="Times New Roman"/>
          <w:color w:val="0000FF"/>
          <w:spacing w:val="0"/>
          <w:sz w:val="23"/>
          <w:szCs w:val="20"/>
          <w:u w:val="single"/>
        </w:rPr>
      </w:pPr>
      <w:r w:rsidRPr="00960C35">
        <w:rPr>
          <w:rFonts w:ascii="Times New Roman" w:eastAsia="Times New Roman" w:hAnsi="Times New Roman" w:cs="Times New Roman"/>
          <w:spacing w:val="0"/>
          <w:sz w:val="23"/>
          <w:szCs w:val="20"/>
        </w:rPr>
        <w:fldChar w:fldCharType="begin"/>
      </w:r>
      <w:r w:rsidRPr="00960C35">
        <w:rPr>
          <w:rFonts w:ascii="Times New Roman" w:eastAsia="Times New Roman" w:hAnsi="Times New Roman" w:cs="Times New Roman"/>
          <w:spacing w:val="0"/>
          <w:sz w:val="23"/>
          <w:szCs w:val="20"/>
        </w:rPr>
        <w:instrText>HYPERLINK  \l "_CHAPTERS_and_APPENDICES" \o "Click here to return to the Table of Contents"</w:instrText>
      </w:r>
      <w:r w:rsidRPr="00960C35">
        <w:rPr>
          <w:rFonts w:ascii="Times New Roman" w:eastAsia="Times New Roman" w:hAnsi="Times New Roman" w:cs="Times New Roman"/>
          <w:spacing w:val="0"/>
          <w:sz w:val="23"/>
          <w:szCs w:val="20"/>
        </w:rPr>
      </w:r>
      <w:r w:rsidRPr="00960C35">
        <w:rPr>
          <w:rFonts w:ascii="Times New Roman" w:eastAsia="Times New Roman" w:hAnsi="Times New Roman" w:cs="Times New Roman"/>
          <w:spacing w:val="0"/>
          <w:sz w:val="23"/>
          <w:szCs w:val="20"/>
        </w:rPr>
        <w:fldChar w:fldCharType="separate"/>
      </w:r>
    </w:p>
    <w:p w14:paraId="64CBAEB9" w14:textId="658F1559" w:rsidR="00727F07" w:rsidRPr="00960C35" w:rsidRDefault="00727F07" w:rsidP="00670BE5">
      <w:pPr>
        <w:rPr>
          <w:rFonts w:ascii="Arial" w:hAnsi="Arial"/>
          <w:sz w:val="24"/>
        </w:rPr>
      </w:pPr>
      <w:r w:rsidRPr="00960C35">
        <w:fldChar w:fldCharType="end"/>
      </w:r>
    </w:p>
    <w:p w14:paraId="74FAE73D" w14:textId="77777777" w:rsidR="00727F07" w:rsidRDefault="00727F07" w:rsidP="00727F07">
      <w:pPr>
        <w:spacing w:after="0" w:line="240" w:lineRule="auto"/>
        <w:rPr>
          <w:rFonts w:eastAsia="Times New Roman" w:cs="Times New Roman"/>
          <w:color w:val="0000FF"/>
          <w:u w:val="single"/>
        </w:rPr>
      </w:pPr>
    </w:p>
    <w:p w14:paraId="3FE62B09" w14:textId="77777777" w:rsidR="002C3138" w:rsidRDefault="002C3138">
      <w:pPr>
        <w:spacing w:after="160" w:line="259" w:lineRule="auto"/>
        <w:rPr>
          <w:rFonts w:eastAsia="Times New Roman" w:cs="Times New Roman"/>
          <w:color w:val="0000FF"/>
          <w:u w:val="single"/>
        </w:rPr>
      </w:pPr>
      <w:bookmarkStart w:id="188" w:name="_Toc187053010"/>
      <w:r>
        <w:rPr>
          <w:rFonts w:eastAsia="Times New Roman" w:cs="Times New Roman"/>
          <w:color w:val="0000FF"/>
          <w:u w:val="single"/>
        </w:rPr>
        <w:br w:type="page"/>
      </w:r>
    </w:p>
    <w:p w14:paraId="34C5ED61" w14:textId="3D342BE1" w:rsidR="003111DD" w:rsidRDefault="003111DD" w:rsidP="00670BE5">
      <w:pPr>
        <w:pStyle w:val="Heading2"/>
        <w:rPr>
          <w:rFonts w:ascii="Arial Narrow" w:eastAsia="Times New Roman" w:hAnsi="Arial Narrow" w:cs="Calibri"/>
          <w:color w:val="C00000"/>
          <w:spacing w:val="20"/>
          <w:kern w:val="28"/>
          <w:sz w:val="28"/>
          <w:szCs w:val="28"/>
        </w:rPr>
      </w:pPr>
      <w:bookmarkStart w:id="189" w:name="_Toc187924191"/>
      <w:r w:rsidRPr="548D0660">
        <w:rPr>
          <w:rStyle w:val="normaltextrun"/>
          <w:shd w:val="clear" w:color="auto" w:fill="FFFFFF"/>
        </w:rPr>
        <w:lastRenderedPageBreak/>
        <w:t>7.1 – Safeguarding Information</w:t>
      </w:r>
      <w:bookmarkEnd w:id="188"/>
      <w:bookmarkEnd w:id="189"/>
    </w:p>
    <w:p w14:paraId="022DAA6D" w14:textId="0679D1EC" w:rsidR="00727F07" w:rsidRPr="00D6457C" w:rsidRDefault="00727F07" w:rsidP="001103E2">
      <w:pPr>
        <w:widowControl w:val="0"/>
        <w:spacing w:after="120"/>
        <w:rPr>
          <w:rFonts w:eastAsia="Times New Roman" w:cs="Calibri"/>
          <w:color w:val="000000"/>
          <w:spacing w:val="0"/>
          <w:kern w:val="28"/>
          <w:sz w:val="20"/>
          <w:szCs w:val="20"/>
        </w:rPr>
      </w:pPr>
      <w:r w:rsidRPr="00D6457C">
        <w:rPr>
          <w:rFonts w:eastAsia="Times New Roman" w:cs="Arial"/>
          <w:b/>
          <w:color w:val="000000"/>
          <w:spacing w:val="0"/>
          <w:kern w:val="28"/>
        </w:rPr>
        <w:t xml:space="preserve">General Requirements. </w:t>
      </w:r>
      <w:r w:rsidRPr="00D6457C">
        <w:rPr>
          <w:rFonts w:eastAsia="Times New Roman" w:cs="Arial"/>
          <w:color w:val="000000"/>
          <w:spacing w:val="0"/>
          <w:kern w:val="28"/>
        </w:rPr>
        <w:t xml:space="preserve">Reports, records, and files pertaining to adjudicative matters must be maintained and disseminated in accordance with the Privacy Act and any applicable records schedules. Information of this nature should be shared only with authorized agency officials having a clear, official need to review the material, relative to the adjudication process. Responsible agency officials will ensure that only appropriate documentation is placed in the Official Personnel File (OPF). Decision letters that direct removal are normally maintained in the agency security file, and for actions by OPM, in its </w:t>
      </w:r>
      <w:r w:rsidR="00B77F0C" w:rsidRPr="00D6457C">
        <w:rPr>
          <w:rFonts w:eastAsia="Times New Roman" w:cs="Arial"/>
          <w:color w:val="000000"/>
          <w:spacing w:val="0"/>
          <w:kern w:val="28"/>
        </w:rPr>
        <w:t>adjudicative</w:t>
      </w:r>
      <w:r w:rsidRPr="00D6457C">
        <w:rPr>
          <w:rFonts w:eastAsia="Times New Roman" w:cs="Arial"/>
          <w:color w:val="000000"/>
          <w:spacing w:val="0"/>
          <w:kern w:val="28"/>
        </w:rPr>
        <w:t xml:space="preserve"> files. To prevent unauthorized disclosures, it is particularly important not to file such records in the OPF. For more information on processing personnel actions and personnel recordkeeping, you may consult with your agency’s record management and/or Privacy Act </w:t>
      </w:r>
      <w:r w:rsidR="002C3138" w:rsidRPr="00D6457C">
        <w:rPr>
          <w:rFonts w:eastAsia="Times New Roman" w:cs="Arial"/>
          <w:color w:val="000000"/>
          <w:spacing w:val="0"/>
          <w:kern w:val="28"/>
        </w:rPr>
        <w:t>Office or</w:t>
      </w:r>
      <w:r w:rsidRPr="00D6457C">
        <w:rPr>
          <w:rFonts w:eastAsia="Times New Roman" w:cs="Arial"/>
          <w:color w:val="000000"/>
          <w:spacing w:val="0"/>
          <w:kern w:val="28"/>
        </w:rPr>
        <w:t xml:space="preserve"> refer to the guidance issued by OPM in the </w:t>
      </w:r>
      <w:r w:rsidRPr="00D6457C">
        <w:rPr>
          <w:rFonts w:eastAsia="Times New Roman" w:cs="Arial"/>
          <w:i/>
          <w:color w:val="000000"/>
          <w:spacing w:val="0"/>
          <w:kern w:val="28"/>
        </w:rPr>
        <w:t xml:space="preserve">Guide to Personnel Recordkeeping </w:t>
      </w:r>
      <w:r w:rsidRPr="00D6457C">
        <w:rPr>
          <w:rFonts w:eastAsia="Times New Roman" w:cs="Arial"/>
          <w:color w:val="000000"/>
          <w:spacing w:val="0"/>
          <w:kern w:val="28"/>
        </w:rPr>
        <w:t xml:space="preserve">and the </w:t>
      </w:r>
      <w:r w:rsidRPr="00D6457C">
        <w:rPr>
          <w:rFonts w:eastAsia="Times New Roman" w:cs="Arial"/>
          <w:i/>
          <w:color w:val="000000"/>
          <w:spacing w:val="0"/>
          <w:kern w:val="28"/>
        </w:rPr>
        <w:t>Guide to Processing Personnel Actions</w:t>
      </w:r>
      <w:r w:rsidRPr="00D6457C">
        <w:rPr>
          <w:rFonts w:eastAsia="Times New Roman" w:cs="Arial"/>
          <w:color w:val="000000"/>
          <w:spacing w:val="0"/>
          <w:kern w:val="28"/>
        </w:rPr>
        <w:t xml:space="preserve"> found at </w:t>
      </w:r>
      <w:r w:rsidRPr="00D6457C">
        <w:rPr>
          <w:rFonts w:eastAsia="Times New Roman" w:cs="Arial"/>
          <w:color w:val="0000FF"/>
          <w:spacing w:val="0"/>
          <w:kern w:val="28"/>
          <w:u w:val="single"/>
        </w:rPr>
        <w:t>http://www.opm.gov/policy-data-oversight/data-analysis-documentation/personnel-documentation/</w:t>
      </w:r>
      <w:r w:rsidRPr="00D6457C">
        <w:rPr>
          <w:rFonts w:eastAsia="Times New Roman" w:cs="Arial"/>
          <w:color w:val="000000"/>
          <w:spacing w:val="0"/>
          <w:kern w:val="28"/>
        </w:rPr>
        <w:t>.</w:t>
      </w:r>
    </w:p>
    <w:p w14:paraId="2DD0F6CD" w14:textId="637F807B" w:rsidR="00727F07" w:rsidRPr="00D6457C" w:rsidRDefault="00727F07" w:rsidP="001103E2">
      <w:pPr>
        <w:widowControl w:val="0"/>
        <w:spacing w:after="0"/>
        <w:ind w:left="268"/>
        <w:rPr>
          <w:rFonts w:eastAsia="Times New Roman" w:cs="Arial"/>
          <w:color w:val="000000"/>
          <w:spacing w:val="0"/>
          <w:kern w:val="28"/>
        </w:rPr>
      </w:pPr>
      <w:r w:rsidRPr="00D6457C">
        <w:rPr>
          <w:rFonts w:eastAsia="Times New Roman" w:cs="Arial"/>
          <w:color w:val="000000"/>
          <w:spacing w:val="0"/>
          <w:kern w:val="28"/>
        </w:rPr>
        <w:t> </w:t>
      </w:r>
    </w:p>
    <w:p w14:paraId="5227FEBC" w14:textId="158421F8" w:rsidR="003111DD" w:rsidRPr="008D1968" w:rsidRDefault="003111DD" w:rsidP="008D1968">
      <w:pPr>
        <w:pStyle w:val="Heading2"/>
        <w:rPr>
          <w:b w:val="0"/>
          <w:shd w:val="clear" w:color="auto" w:fill="FFFFFF"/>
        </w:rPr>
      </w:pPr>
      <w:bookmarkStart w:id="190" w:name="_Toc187053011"/>
      <w:bookmarkStart w:id="191" w:name="_Toc187924192"/>
      <w:r w:rsidRPr="548D0660">
        <w:rPr>
          <w:rStyle w:val="normaltextrun"/>
          <w:shd w:val="clear" w:color="auto" w:fill="FFFFFF"/>
        </w:rPr>
        <w:t>7.2 – OPM Oversight</w:t>
      </w:r>
      <w:bookmarkEnd w:id="190"/>
      <w:bookmarkEnd w:id="191"/>
    </w:p>
    <w:p w14:paraId="44510E00" w14:textId="1CFE0554" w:rsidR="00727F07" w:rsidRPr="00A2703F" w:rsidRDefault="00727F07" w:rsidP="001103E2">
      <w:pPr>
        <w:spacing w:after="0"/>
        <w:rPr>
          <w:rFonts w:eastAsia="Times New Roman" w:cs="Times New Roman"/>
          <w:spacing w:val="0"/>
        </w:rPr>
      </w:pPr>
      <w:r w:rsidRPr="00343342">
        <w:rPr>
          <w:rFonts w:eastAsia="Times New Roman" w:cs="Times New Roman"/>
          <w:b/>
          <w:spacing w:val="0"/>
        </w:rPr>
        <w:t>OPM's Review and Corrective Action Roles.</w:t>
      </w:r>
      <w:r w:rsidRPr="00343342">
        <w:rPr>
          <w:rFonts w:eastAsia="Times New Roman" w:cs="Times New Roman"/>
          <w:spacing w:val="0"/>
        </w:rPr>
        <w:t xml:space="preserve"> OPM may initiate corrective action if </w:t>
      </w:r>
      <w:r w:rsidR="004D0137" w:rsidRPr="004D0137">
        <w:rPr>
          <w:rFonts w:eastAsia="Times New Roman" w:cs="Times New Roman"/>
          <w:spacing w:val="0"/>
        </w:rPr>
        <w:t>necessary,</w:t>
      </w:r>
      <w:r w:rsidRPr="00710321">
        <w:rPr>
          <w:rFonts w:eastAsia="Times New Roman" w:cs="Times New Roman"/>
          <w:spacing w:val="0"/>
        </w:rPr>
        <w:t xml:space="preserve"> in cases where it has jurisdiction. </w:t>
      </w:r>
      <w:r w:rsidR="00B77F0C" w:rsidRPr="00710321">
        <w:rPr>
          <w:rFonts w:eastAsia="Times New Roman" w:cs="Times New Roman"/>
          <w:spacing w:val="0"/>
        </w:rPr>
        <w:t>OPM-Suitability Executive Agent Programs</w:t>
      </w:r>
      <w:r w:rsidRPr="00710321">
        <w:rPr>
          <w:rFonts w:eastAsia="Times New Roman" w:cs="Times New Roman"/>
          <w:spacing w:val="0"/>
        </w:rPr>
        <w:t xml:space="preserve"> </w:t>
      </w:r>
      <w:r w:rsidR="00B77F0C" w:rsidRPr="00710321">
        <w:rPr>
          <w:rFonts w:eastAsia="Times New Roman" w:cs="Times New Roman"/>
          <w:spacing w:val="0"/>
        </w:rPr>
        <w:t xml:space="preserve">(SuitEA) </w:t>
      </w:r>
      <w:r w:rsidRPr="00710321">
        <w:rPr>
          <w:rFonts w:eastAsia="Times New Roman" w:cs="Times New Roman"/>
          <w:spacing w:val="0"/>
        </w:rPr>
        <w:t xml:space="preserve">will make contact with agencies regarding </w:t>
      </w:r>
      <w:r w:rsidR="00B77F0C" w:rsidRPr="00710321">
        <w:rPr>
          <w:rFonts w:eastAsia="Times New Roman" w:cs="Times New Roman"/>
          <w:spacing w:val="0"/>
        </w:rPr>
        <w:t>background</w:t>
      </w:r>
      <w:r w:rsidR="00D6770B">
        <w:rPr>
          <w:rFonts w:eastAsia="Times New Roman" w:cs="Times New Roman"/>
          <w:spacing w:val="0"/>
        </w:rPr>
        <w:t xml:space="preserve"> investigation</w:t>
      </w:r>
      <w:r w:rsidR="00B77F0C" w:rsidRPr="00710321">
        <w:rPr>
          <w:rFonts w:eastAsia="Times New Roman" w:cs="Times New Roman"/>
          <w:spacing w:val="0"/>
        </w:rPr>
        <w:t xml:space="preserve"> cases it reviews for oversight purposes if there are questions about the </w:t>
      </w:r>
      <w:r w:rsidR="004D0137" w:rsidRPr="004D0137">
        <w:rPr>
          <w:rFonts w:eastAsia="Times New Roman" w:cs="Times New Roman"/>
          <w:spacing w:val="0"/>
        </w:rPr>
        <w:t>agency’s</w:t>
      </w:r>
      <w:r w:rsidR="00B77F0C" w:rsidRPr="00537A6F">
        <w:rPr>
          <w:rFonts w:eastAsia="Times New Roman" w:cs="Times New Roman"/>
          <w:spacing w:val="0"/>
        </w:rPr>
        <w:t xml:space="preserve"> adj</w:t>
      </w:r>
      <w:r w:rsidR="00B77F0C" w:rsidRPr="00A2703F">
        <w:rPr>
          <w:rFonts w:eastAsia="Times New Roman" w:cs="Times New Roman"/>
          <w:spacing w:val="0"/>
        </w:rPr>
        <w:t>udicative determination or if SuitEA determines the issues fall within its jurisdiction for adjudication</w:t>
      </w:r>
      <w:r w:rsidRPr="00A2703F">
        <w:rPr>
          <w:rFonts w:eastAsia="Times New Roman" w:cs="Times New Roman"/>
          <w:spacing w:val="0"/>
        </w:rPr>
        <w:t>.</w:t>
      </w:r>
    </w:p>
    <w:p w14:paraId="7492F874" w14:textId="77777777" w:rsidR="00727F07" w:rsidRPr="00A2703F" w:rsidRDefault="00727F07" w:rsidP="001103E2">
      <w:pPr>
        <w:spacing w:after="0"/>
        <w:ind w:left="288"/>
        <w:rPr>
          <w:rFonts w:eastAsia="Times New Roman" w:cs="Times New Roman"/>
          <w:spacing w:val="0"/>
        </w:rPr>
      </w:pPr>
    </w:p>
    <w:p w14:paraId="45526DE8" w14:textId="2C3071AE" w:rsidR="00727F07" w:rsidRPr="00A2703F" w:rsidRDefault="00727F07" w:rsidP="001103E2">
      <w:pPr>
        <w:spacing w:after="0"/>
        <w:rPr>
          <w:rFonts w:eastAsia="Times New Roman" w:cs="Times New Roman"/>
          <w:spacing w:val="0"/>
        </w:rPr>
      </w:pPr>
      <w:r w:rsidRPr="00A2703F">
        <w:rPr>
          <w:rFonts w:eastAsia="Times New Roman" w:cs="Times New Roman"/>
          <w:spacing w:val="0"/>
        </w:rPr>
        <w:t xml:space="preserve">As part of its program audit responsibilities, OPM periodically evaluates the manner in which agencies carry out </w:t>
      </w:r>
      <w:r w:rsidR="00B77F0C" w:rsidRPr="00A2703F">
        <w:rPr>
          <w:rFonts w:eastAsia="Times New Roman" w:cs="Times New Roman"/>
          <w:spacing w:val="0"/>
        </w:rPr>
        <w:t>vetting requirements, including delegated suitability functions</w:t>
      </w:r>
      <w:r w:rsidRPr="00A2703F">
        <w:rPr>
          <w:rFonts w:eastAsia="Times New Roman" w:cs="Times New Roman"/>
          <w:spacing w:val="0"/>
        </w:rPr>
        <w:t>. Recommendations to correct deficiencies are included as part of the appraisal report to the agency. OPM may revoke an agency’s delegation to make suitability determinations and take suitability actions under 5 C</w:t>
      </w:r>
      <w:r w:rsidR="008A779F">
        <w:rPr>
          <w:rFonts w:eastAsia="Times New Roman" w:cs="Times New Roman"/>
          <w:spacing w:val="0"/>
        </w:rPr>
        <w:t>.</w:t>
      </w:r>
      <w:r w:rsidRPr="00A2703F">
        <w:rPr>
          <w:rFonts w:eastAsia="Times New Roman" w:cs="Times New Roman"/>
          <w:spacing w:val="0"/>
        </w:rPr>
        <w:t>F</w:t>
      </w:r>
      <w:r w:rsidR="008A779F">
        <w:rPr>
          <w:rFonts w:eastAsia="Times New Roman" w:cs="Times New Roman"/>
          <w:spacing w:val="0"/>
        </w:rPr>
        <w:t>.</w:t>
      </w:r>
      <w:r w:rsidRPr="00A2703F">
        <w:rPr>
          <w:rFonts w:eastAsia="Times New Roman" w:cs="Times New Roman"/>
          <w:spacing w:val="0"/>
        </w:rPr>
        <w:t>R</w:t>
      </w:r>
      <w:r w:rsidR="008A779F">
        <w:rPr>
          <w:rFonts w:eastAsia="Times New Roman" w:cs="Times New Roman"/>
          <w:spacing w:val="0"/>
        </w:rPr>
        <w:t>.</w:t>
      </w:r>
      <w:r w:rsidRPr="00A2703F">
        <w:rPr>
          <w:rFonts w:eastAsia="Times New Roman" w:cs="Times New Roman"/>
          <w:spacing w:val="0"/>
        </w:rPr>
        <w:t xml:space="preserve"> part 731 if an agency fails to conform to 5 C</w:t>
      </w:r>
      <w:r w:rsidR="008A779F">
        <w:rPr>
          <w:rFonts w:eastAsia="Times New Roman" w:cs="Times New Roman"/>
          <w:spacing w:val="0"/>
        </w:rPr>
        <w:t>.</w:t>
      </w:r>
      <w:r w:rsidRPr="00A2703F">
        <w:rPr>
          <w:rFonts w:eastAsia="Times New Roman" w:cs="Times New Roman"/>
          <w:spacing w:val="0"/>
        </w:rPr>
        <w:t>F</w:t>
      </w:r>
      <w:r w:rsidR="008A779F">
        <w:rPr>
          <w:rFonts w:eastAsia="Times New Roman" w:cs="Times New Roman"/>
          <w:spacing w:val="0"/>
        </w:rPr>
        <w:t>.</w:t>
      </w:r>
      <w:r w:rsidRPr="00A2703F">
        <w:rPr>
          <w:rFonts w:eastAsia="Times New Roman" w:cs="Times New Roman"/>
          <w:spacing w:val="0"/>
        </w:rPr>
        <w:t>R</w:t>
      </w:r>
      <w:r w:rsidR="008A779F">
        <w:rPr>
          <w:rFonts w:eastAsia="Times New Roman" w:cs="Times New Roman"/>
          <w:spacing w:val="0"/>
        </w:rPr>
        <w:t>. part</w:t>
      </w:r>
      <w:r w:rsidR="25E068AE" w:rsidRPr="548D0660">
        <w:rPr>
          <w:rFonts w:eastAsia="Times New Roman" w:cs="Times New Roman"/>
          <w:color w:val="000000" w:themeColor="text1"/>
        </w:rPr>
        <w:t xml:space="preserve"> </w:t>
      </w:r>
      <w:r w:rsidRPr="00A2703F">
        <w:rPr>
          <w:rFonts w:eastAsia="Times New Roman" w:cs="Times New Roman"/>
          <w:spacing w:val="0"/>
        </w:rPr>
        <w:t xml:space="preserve">731 or OPM issuances </w:t>
      </w:r>
      <w:r w:rsidR="00B77F0C" w:rsidRPr="00A2703F">
        <w:rPr>
          <w:rFonts w:eastAsia="Times New Roman" w:cs="Times New Roman"/>
          <w:spacing w:val="0"/>
        </w:rPr>
        <w:t>including this Manual.</w:t>
      </w:r>
      <w:r w:rsidRPr="00A2703F">
        <w:rPr>
          <w:rFonts w:eastAsia="Times New Roman" w:cs="Times New Roman"/>
          <w:spacing w:val="0"/>
        </w:rPr>
        <w:t xml:space="preserve"> </w:t>
      </w:r>
    </w:p>
    <w:p w14:paraId="064F2930" w14:textId="77777777" w:rsidR="00727F07" w:rsidRPr="00A2703F" w:rsidRDefault="00727F07" w:rsidP="001103E2">
      <w:pPr>
        <w:spacing w:after="0"/>
        <w:rPr>
          <w:rFonts w:eastAsia="Times New Roman" w:cs="Times New Roman"/>
          <w:spacing w:val="0"/>
        </w:rPr>
      </w:pPr>
    </w:p>
    <w:p w14:paraId="25EBC9FD" w14:textId="2611AB76" w:rsidR="00727F07" w:rsidRPr="00A2703F" w:rsidRDefault="00727F07" w:rsidP="001103E2">
      <w:pPr>
        <w:spacing w:after="0"/>
        <w:rPr>
          <w:rFonts w:eastAsia="Times New Roman" w:cs="Times New Roman"/>
          <w:spacing w:val="0"/>
        </w:rPr>
      </w:pPr>
      <w:r w:rsidRPr="00A2703F">
        <w:rPr>
          <w:rFonts w:eastAsia="Times New Roman" w:cs="Times New Roman"/>
          <w:b/>
          <w:spacing w:val="0"/>
        </w:rPr>
        <w:t>Materials to be Retained for an OPM Appraisal.</w:t>
      </w:r>
      <w:r w:rsidRPr="00A2703F">
        <w:rPr>
          <w:rFonts w:eastAsia="Times New Roman" w:cs="Times New Roman"/>
          <w:spacing w:val="0"/>
        </w:rPr>
        <w:t xml:space="preserve"> The following information pertaining to suitability </w:t>
      </w:r>
      <w:r w:rsidR="003111DD" w:rsidRPr="00A2703F">
        <w:rPr>
          <w:rFonts w:eastAsia="Times New Roman" w:cs="Times New Roman"/>
          <w:spacing w:val="0"/>
        </w:rPr>
        <w:t xml:space="preserve">and fitness </w:t>
      </w:r>
      <w:r w:rsidRPr="00A2703F">
        <w:rPr>
          <w:rFonts w:eastAsia="Times New Roman" w:cs="Times New Roman"/>
          <w:spacing w:val="0"/>
        </w:rPr>
        <w:t>adjudications will be maintained for OPM review:</w:t>
      </w:r>
    </w:p>
    <w:p w14:paraId="61B0C78C" w14:textId="77777777" w:rsidR="00727F07" w:rsidRPr="00A2703F" w:rsidRDefault="00727F07" w:rsidP="001103E2">
      <w:pPr>
        <w:spacing w:after="0"/>
        <w:rPr>
          <w:rFonts w:eastAsia="Times New Roman" w:cs="Times New Roman"/>
          <w:spacing w:val="0"/>
        </w:rPr>
      </w:pPr>
    </w:p>
    <w:p w14:paraId="55E4417D" w14:textId="4BB58923" w:rsidR="00727F07" w:rsidRPr="00A2703F" w:rsidRDefault="00727F07" w:rsidP="001103E2">
      <w:pPr>
        <w:numPr>
          <w:ilvl w:val="0"/>
          <w:numId w:val="60"/>
        </w:numPr>
        <w:tabs>
          <w:tab w:val="num" w:pos="504"/>
        </w:tabs>
        <w:spacing w:after="0"/>
        <w:ind w:left="1080"/>
        <w:rPr>
          <w:rFonts w:eastAsia="Times New Roman" w:cs="Times New Roman"/>
          <w:spacing w:val="0"/>
        </w:rPr>
      </w:pPr>
      <w:r w:rsidRPr="00A2703F">
        <w:rPr>
          <w:rFonts w:eastAsia="Times New Roman" w:cs="Times New Roman"/>
          <w:spacing w:val="0"/>
        </w:rPr>
        <w:t xml:space="preserve">The agency's </w:t>
      </w:r>
      <w:r w:rsidRPr="00A2703F">
        <w:rPr>
          <w:rFonts w:eastAsia="Times New Roman" w:cs="Times New Roman"/>
          <w:b/>
          <w:spacing w:val="0"/>
        </w:rPr>
        <w:t xml:space="preserve">suitability </w:t>
      </w:r>
      <w:r w:rsidR="003111DD" w:rsidRPr="00A2703F">
        <w:rPr>
          <w:rFonts w:eastAsia="Times New Roman" w:cs="Times New Roman"/>
          <w:b/>
          <w:spacing w:val="0"/>
        </w:rPr>
        <w:t xml:space="preserve">and fitness </w:t>
      </w:r>
      <w:r w:rsidRPr="00A2703F">
        <w:rPr>
          <w:rFonts w:eastAsia="Times New Roman" w:cs="Times New Roman"/>
          <w:b/>
          <w:spacing w:val="0"/>
        </w:rPr>
        <w:t>regulations and/or instructions</w:t>
      </w:r>
      <w:r w:rsidRPr="00A2703F">
        <w:rPr>
          <w:rFonts w:eastAsia="Times New Roman" w:cs="Times New Roman"/>
          <w:spacing w:val="0"/>
        </w:rPr>
        <w:t xml:space="preserve">, this </w:t>
      </w:r>
      <w:r w:rsidR="00B77F0C" w:rsidRPr="00A2703F">
        <w:rPr>
          <w:rFonts w:eastAsia="Times New Roman" w:cs="Times New Roman"/>
          <w:spacing w:val="0"/>
        </w:rPr>
        <w:t>Manual</w:t>
      </w:r>
      <w:r w:rsidRPr="00A2703F">
        <w:rPr>
          <w:rFonts w:eastAsia="Times New Roman" w:cs="Times New Roman"/>
          <w:spacing w:val="0"/>
        </w:rPr>
        <w:t>, and other OPM issuances;</w:t>
      </w:r>
    </w:p>
    <w:p w14:paraId="30B14D60" w14:textId="10D94CBB" w:rsidR="00727F07" w:rsidRPr="00A2703F" w:rsidRDefault="00727F07" w:rsidP="001103E2">
      <w:pPr>
        <w:numPr>
          <w:ilvl w:val="0"/>
          <w:numId w:val="60"/>
        </w:numPr>
        <w:tabs>
          <w:tab w:val="num" w:pos="504"/>
        </w:tabs>
        <w:spacing w:after="0"/>
        <w:ind w:left="1080"/>
        <w:rPr>
          <w:rFonts w:eastAsia="Times New Roman" w:cs="Times New Roman"/>
          <w:spacing w:val="0"/>
        </w:rPr>
      </w:pPr>
      <w:r w:rsidRPr="00A2703F">
        <w:rPr>
          <w:rFonts w:eastAsia="Times New Roman" w:cs="Times New Roman"/>
          <w:spacing w:val="0"/>
        </w:rPr>
        <w:t xml:space="preserve">The </w:t>
      </w:r>
      <w:r w:rsidRPr="2AEFA46C">
        <w:rPr>
          <w:rFonts w:eastAsia="Times New Roman" w:cs="Times New Roman"/>
          <w:b/>
          <w:bCs/>
          <w:spacing w:val="0"/>
        </w:rPr>
        <w:t>level of training and investigation</w:t>
      </w:r>
      <w:r w:rsidRPr="00A2703F">
        <w:rPr>
          <w:rFonts w:eastAsia="Times New Roman" w:cs="Times New Roman"/>
          <w:spacing w:val="0"/>
        </w:rPr>
        <w:t xml:space="preserve"> of all personnel who are involved in adjudicating;</w:t>
      </w:r>
    </w:p>
    <w:p w14:paraId="1CF2241C" w14:textId="77777777" w:rsidR="00727F07" w:rsidRPr="00A2703F" w:rsidRDefault="00727F07" w:rsidP="001103E2">
      <w:pPr>
        <w:numPr>
          <w:ilvl w:val="0"/>
          <w:numId w:val="60"/>
        </w:numPr>
        <w:tabs>
          <w:tab w:val="num" w:pos="504"/>
        </w:tabs>
        <w:spacing w:after="0"/>
        <w:ind w:left="1080"/>
        <w:rPr>
          <w:rFonts w:eastAsia="Times New Roman" w:cs="Times New Roman"/>
          <w:spacing w:val="0"/>
        </w:rPr>
      </w:pPr>
      <w:r w:rsidRPr="00A2703F">
        <w:rPr>
          <w:rFonts w:eastAsia="Times New Roman" w:cs="Times New Roman"/>
          <w:b/>
          <w:spacing w:val="0"/>
        </w:rPr>
        <w:t xml:space="preserve">Records of Risk Level and Sensitivity Level </w:t>
      </w:r>
      <w:r w:rsidRPr="00A2703F">
        <w:rPr>
          <w:rFonts w:eastAsia="Times New Roman" w:cs="Times New Roman"/>
          <w:spacing w:val="0"/>
        </w:rPr>
        <w:t>designations of all positions;</w:t>
      </w:r>
    </w:p>
    <w:p w14:paraId="105FFD8C" w14:textId="77777777" w:rsidR="00727F07" w:rsidRPr="00A2703F" w:rsidRDefault="00727F07" w:rsidP="001103E2">
      <w:pPr>
        <w:numPr>
          <w:ilvl w:val="0"/>
          <w:numId w:val="60"/>
        </w:numPr>
        <w:tabs>
          <w:tab w:val="num" w:pos="504"/>
        </w:tabs>
        <w:spacing w:after="0"/>
        <w:ind w:left="1080"/>
        <w:rPr>
          <w:rFonts w:eastAsia="Times New Roman" w:cs="Times New Roman"/>
          <w:spacing w:val="0"/>
        </w:rPr>
      </w:pPr>
      <w:r w:rsidRPr="00A2703F">
        <w:rPr>
          <w:rFonts w:eastAsia="Times New Roman" w:cs="Times New Roman"/>
          <w:b/>
          <w:spacing w:val="0"/>
        </w:rPr>
        <w:t>Records of investigations conducted</w:t>
      </w:r>
      <w:r w:rsidRPr="00A2703F">
        <w:rPr>
          <w:rFonts w:eastAsia="Times New Roman" w:cs="Times New Roman"/>
          <w:spacing w:val="0"/>
        </w:rPr>
        <w:t xml:space="preserve"> for all positions;</w:t>
      </w:r>
    </w:p>
    <w:p w14:paraId="4D8EA040" w14:textId="10ABF626" w:rsidR="00727F07" w:rsidRPr="00710321" w:rsidRDefault="00727F07" w:rsidP="001103E2">
      <w:pPr>
        <w:numPr>
          <w:ilvl w:val="0"/>
          <w:numId w:val="60"/>
        </w:numPr>
        <w:tabs>
          <w:tab w:val="num" w:pos="504"/>
        </w:tabs>
        <w:spacing w:after="0"/>
        <w:ind w:left="1080"/>
        <w:rPr>
          <w:rFonts w:eastAsia="Times New Roman" w:cs="Times New Roman"/>
          <w:spacing w:val="0"/>
        </w:rPr>
      </w:pPr>
      <w:r w:rsidRPr="00A2703F">
        <w:rPr>
          <w:rFonts w:eastAsia="Times New Roman" w:cs="Times New Roman"/>
          <w:b/>
          <w:spacing w:val="0"/>
        </w:rPr>
        <w:t>Records of timeliness for initiating required investigations</w:t>
      </w:r>
      <w:r w:rsidRPr="00A2703F">
        <w:rPr>
          <w:rFonts w:eastAsia="Times New Roman" w:cs="Times New Roman"/>
          <w:spacing w:val="0"/>
        </w:rPr>
        <w:t xml:space="preserve"> and making suitability </w:t>
      </w:r>
      <w:r w:rsidR="003111DD" w:rsidRPr="001D0BD1">
        <w:rPr>
          <w:rFonts w:eastAsia="Times New Roman" w:cs="Times New Roman"/>
          <w:spacing w:val="0"/>
        </w:rPr>
        <w:t xml:space="preserve">and fitness </w:t>
      </w:r>
      <w:r w:rsidRPr="001D0BD1">
        <w:rPr>
          <w:rFonts w:eastAsia="Times New Roman" w:cs="Times New Roman"/>
          <w:spacing w:val="0"/>
        </w:rPr>
        <w:t>determinations</w:t>
      </w:r>
      <w:r w:rsidRPr="00710321">
        <w:rPr>
          <w:rFonts w:eastAsia="Times New Roman" w:cs="Times New Roman"/>
          <w:spacing w:val="0"/>
        </w:rPr>
        <w:fldChar w:fldCharType="begin"/>
      </w:r>
      <w:r w:rsidRPr="00710321">
        <w:rPr>
          <w:rFonts w:eastAsia="Times New Roman" w:cs="Times New Roman"/>
          <w:spacing w:val="0"/>
        </w:rPr>
        <w:instrText xml:space="preserve"> XE "INV Form 79A" </w:instrText>
      </w:r>
      <w:r w:rsidRPr="00710321">
        <w:rPr>
          <w:rFonts w:eastAsia="Times New Roman" w:cs="Times New Roman"/>
          <w:spacing w:val="0"/>
        </w:rPr>
        <w:fldChar w:fldCharType="end"/>
      </w:r>
      <w:r w:rsidRPr="00710321">
        <w:rPr>
          <w:rFonts w:eastAsia="Times New Roman" w:cs="Times New Roman"/>
          <w:spacing w:val="0"/>
        </w:rPr>
        <w:t>;</w:t>
      </w:r>
    </w:p>
    <w:p w14:paraId="73A6A085" w14:textId="4A15B937" w:rsidR="00727F07" w:rsidRPr="00710321" w:rsidRDefault="00727F07" w:rsidP="001103E2">
      <w:pPr>
        <w:numPr>
          <w:ilvl w:val="0"/>
          <w:numId w:val="60"/>
        </w:numPr>
        <w:tabs>
          <w:tab w:val="num" w:pos="504"/>
        </w:tabs>
        <w:spacing w:after="0"/>
        <w:ind w:left="1080"/>
        <w:rPr>
          <w:rFonts w:eastAsia="Times New Roman" w:cs="Times New Roman"/>
          <w:spacing w:val="0"/>
        </w:rPr>
      </w:pPr>
      <w:r w:rsidRPr="00710321">
        <w:rPr>
          <w:rFonts w:eastAsia="Times New Roman" w:cs="Times New Roman"/>
          <w:b/>
          <w:spacing w:val="0"/>
        </w:rPr>
        <w:lastRenderedPageBreak/>
        <w:t>Records of adjudication</w:t>
      </w:r>
      <w:r w:rsidRPr="00710321">
        <w:rPr>
          <w:rFonts w:eastAsia="Times New Roman" w:cs="Times New Roman"/>
          <w:spacing w:val="0"/>
        </w:rPr>
        <w:t xml:space="preserve"> so OPM can determine the appropriateness of agency adjudicative actions and procedures;</w:t>
      </w:r>
    </w:p>
    <w:p w14:paraId="5A691663" w14:textId="77777777" w:rsidR="00727F07" w:rsidRPr="00710321" w:rsidRDefault="00727F07" w:rsidP="001103E2">
      <w:pPr>
        <w:numPr>
          <w:ilvl w:val="0"/>
          <w:numId w:val="60"/>
        </w:numPr>
        <w:tabs>
          <w:tab w:val="num" w:pos="504"/>
        </w:tabs>
        <w:spacing w:after="0"/>
        <w:ind w:left="1080"/>
        <w:rPr>
          <w:rFonts w:eastAsia="Times New Roman" w:cs="Times New Roman"/>
          <w:spacing w:val="0"/>
        </w:rPr>
      </w:pPr>
      <w:r w:rsidRPr="00710321">
        <w:rPr>
          <w:rFonts w:eastAsia="Times New Roman" w:cs="Times New Roman"/>
          <w:b/>
          <w:spacing w:val="0"/>
        </w:rPr>
        <w:t>Records of measures taken by the agency to assure uniformity and fairness</w:t>
      </w:r>
      <w:r w:rsidRPr="00710321">
        <w:rPr>
          <w:rFonts w:eastAsia="Times New Roman" w:cs="Times New Roman"/>
          <w:spacing w:val="0"/>
        </w:rPr>
        <w:t xml:space="preserve"> in adjudication; and</w:t>
      </w:r>
    </w:p>
    <w:p w14:paraId="0C8CA86A" w14:textId="1FC3866D" w:rsidR="00727F07" w:rsidRPr="00710321" w:rsidRDefault="00727F07" w:rsidP="001103E2">
      <w:pPr>
        <w:numPr>
          <w:ilvl w:val="0"/>
          <w:numId w:val="60"/>
        </w:numPr>
        <w:spacing w:after="0"/>
        <w:ind w:left="1080"/>
        <w:rPr>
          <w:rFonts w:eastAsia="Times New Roman" w:cs="Times New Roman"/>
          <w:spacing w:val="0"/>
        </w:rPr>
      </w:pPr>
      <w:r w:rsidRPr="00710321">
        <w:rPr>
          <w:rFonts w:eastAsia="Times New Roman" w:cs="Times New Roman"/>
          <w:b/>
          <w:spacing w:val="0"/>
        </w:rPr>
        <w:t>Documentation of the agency's safeguards</w:t>
      </w:r>
      <w:r w:rsidRPr="00710321">
        <w:rPr>
          <w:rFonts w:eastAsia="Times New Roman" w:cs="Times New Roman"/>
          <w:spacing w:val="0"/>
        </w:rPr>
        <w:t xml:space="preserve"> for access, handling, and storage of investigative reports and other </w:t>
      </w:r>
      <w:r w:rsidR="003111DD" w:rsidRPr="00710321">
        <w:rPr>
          <w:rFonts w:eastAsia="Times New Roman" w:cs="Times New Roman"/>
          <w:spacing w:val="0"/>
        </w:rPr>
        <w:t>adjudicative</w:t>
      </w:r>
      <w:r w:rsidRPr="00710321">
        <w:rPr>
          <w:rFonts w:eastAsia="Times New Roman" w:cs="Times New Roman"/>
          <w:spacing w:val="0"/>
        </w:rPr>
        <w:t xml:space="preserve"> materials.</w:t>
      </w:r>
    </w:p>
    <w:p w14:paraId="0B2592D3" w14:textId="77777777" w:rsidR="00727F07" w:rsidRPr="00710321" w:rsidRDefault="00727F07" w:rsidP="001103E2">
      <w:pPr>
        <w:spacing w:after="0"/>
        <w:rPr>
          <w:rFonts w:eastAsia="Times New Roman" w:cs="Times New Roman"/>
          <w:spacing w:val="0"/>
        </w:rPr>
      </w:pPr>
    </w:p>
    <w:p w14:paraId="3B7E517D" w14:textId="77777777" w:rsidR="00727F07" w:rsidRPr="00710321" w:rsidRDefault="00727F07" w:rsidP="001103E2">
      <w:pPr>
        <w:spacing w:after="0"/>
        <w:rPr>
          <w:rFonts w:eastAsia="Times New Roman" w:cs="Times New Roman"/>
          <w:spacing w:val="0"/>
        </w:rPr>
      </w:pPr>
      <w:r w:rsidRPr="00710321">
        <w:rPr>
          <w:rFonts w:eastAsia="Times New Roman" w:cs="Times New Roman"/>
          <w:spacing w:val="0"/>
        </w:rPr>
        <w:t>Adjudicative records may be maintained separately from, or as a part of, individuals’ Suitability or Security Files.</w:t>
      </w:r>
    </w:p>
    <w:p w14:paraId="78090205" w14:textId="77777777" w:rsidR="00727F07" w:rsidRPr="00710321" w:rsidRDefault="00727F07" w:rsidP="001103E2">
      <w:pPr>
        <w:spacing w:after="0"/>
        <w:ind w:left="288"/>
        <w:rPr>
          <w:rFonts w:eastAsia="Times New Roman" w:cs="Times New Roman"/>
          <w:spacing w:val="0"/>
        </w:rPr>
      </w:pPr>
    </w:p>
    <w:p w14:paraId="5E7D5386" w14:textId="51FC7F5C" w:rsidR="00727F07" w:rsidRPr="00710321" w:rsidRDefault="00727F07" w:rsidP="008D280E">
      <w:pPr>
        <w:spacing w:after="0"/>
        <w:rPr>
          <w:rFonts w:eastAsia="Times New Roman" w:cs="Times New Roman"/>
          <w:spacing w:val="0"/>
        </w:rPr>
      </w:pPr>
      <w:r w:rsidRPr="00710321">
        <w:rPr>
          <w:rFonts w:eastAsia="Times New Roman" w:cs="Times New Roman"/>
          <w:spacing w:val="0"/>
        </w:rPr>
        <w:t xml:space="preserve">All documentation relating to the agency adjudicative action in any case identified by </w:t>
      </w:r>
      <w:r w:rsidR="36EAC1E5" w:rsidRPr="00710321">
        <w:rPr>
          <w:rFonts w:eastAsia="Times New Roman" w:cs="Times New Roman"/>
          <w:spacing w:val="0"/>
        </w:rPr>
        <w:t>the Investigative Service Provider</w:t>
      </w:r>
      <w:r w:rsidRPr="00710321">
        <w:rPr>
          <w:rFonts w:eastAsia="Times New Roman" w:cs="Times New Roman"/>
          <w:spacing w:val="0"/>
        </w:rPr>
        <w:t xml:space="preserve"> as having suitability</w:t>
      </w:r>
      <w:r w:rsidR="003111DD" w:rsidRPr="00710321">
        <w:rPr>
          <w:rFonts w:eastAsia="Times New Roman" w:cs="Times New Roman"/>
          <w:spacing w:val="0"/>
        </w:rPr>
        <w:t xml:space="preserve"> or fitness</w:t>
      </w:r>
      <w:r w:rsidRPr="00710321">
        <w:rPr>
          <w:rFonts w:eastAsia="Times New Roman" w:cs="Times New Roman"/>
          <w:spacing w:val="0"/>
        </w:rPr>
        <w:t xml:space="preserve"> issues must be retained by the agency for a period of two years from the date of the agency's decision and in accordance with applicable </w:t>
      </w:r>
      <w:r w:rsidR="003111DD" w:rsidRPr="00710321">
        <w:rPr>
          <w:rFonts w:eastAsia="Times New Roman" w:cs="Times New Roman"/>
          <w:spacing w:val="0"/>
        </w:rPr>
        <w:t>National Archives</w:t>
      </w:r>
      <w:r w:rsidRPr="00710321">
        <w:rPr>
          <w:rFonts w:eastAsia="Times New Roman" w:cs="Times New Roman"/>
          <w:spacing w:val="0"/>
        </w:rPr>
        <w:t xml:space="preserve"> requirements. Destruction of all adjudicative and investigative materials will be in accordance with prescribed procedures (such as shredding or recycling).</w:t>
      </w:r>
    </w:p>
    <w:p w14:paraId="302242A7" w14:textId="70B17602" w:rsidR="00727F07" w:rsidRPr="003A6EEC" w:rsidRDefault="003111DD" w:rsidP="003A6EEC">
      <w:pPr>
        <w:pStyle w:val="Heading2"/>
        <w:rPr>
          <w:rStyle w:val="normaltextrun"/>
        </w:rPr>
      </w:pPr>
      <w:bookmarkStart w:id="192" w:name="_Toc187053012"/>
      <w:bookmarkStart w:id="193" w:name="_Toc187924193"/>
      <w:r w:rsidRPr="36A80A07">
        <w:rPr>
          <w:rStyle w:val="normaltextrun"/>
        </w:rPr>
        <w:t>7.</w:t>
      </w:r>
      <w:r w:rsidR="2B60A8DC" w:rsidRPr="36A80A07">
        <w:rPr>
          <w:rStyle w:val="normaltextrun"/>
        </w:rPr>
        <w:t>3</w:t>
      </w:r>
      <w:r w:rsidRPr="36A80A07">
        <w:rPr>
          <w:rStyle w:val="normaltextrun"/>
        </w:rPr>
        <w:t xml:space="preserve"> – OPM Contacts</w:t>
      </w:r>
      <w:bookmarkEnd w:id="192"/>
      <w:bookmarkEnd w:id="193"/>
    </w:p>
    <w:p w14:paraId="2D63C71A" w14:textId="089C2B5E" w:rsidR="00727F07" w:rsidRDefault="00727F07" w:rsidP="00727F07">
      <w:pPr>
        <w:widowControl w:val="0"/>
        <w:rPr>
          <w:rFonts w:cs="Arial"/>
        </w:rPr>
      </w:pPr>
      <w:bookmarkStart w:id="194" w:name="_Toc167257818"/>
      <w:r>
        <w:rPr>
          <w:rFonts w:cs="Arial"/>
        </w:rPr>
        <w:t xml:space="preserve">The below contacts </w:t>
      </w:r>
      <w:r w:rsidR="003111DD">
        <w:rPr>
          <w:rFonts w:cs="Arial"/>
        </w:rPr>
        <w:t>are provided for the SuitEA office:</w:t>
      </w:r>
    </w:p>
    <w:tbl>
      <w:tblPr>
        <w:tblStyle w:val="PlainTable1"/>
        <w:tblW w:w="9445" w:type="dxa"/>
        <w:tblLayout w:type="fixed"/>
        <w:tblLook w:val="06A0" w:firstRow="1" w:lastRow="0" w:firstColumn="1" w:lastColumn="0" w:noHBand="1" w:noVBand="1"/>
      </w:tblPr>
      <w:tblGrid>
        <w:gridCol w:w="4045"/>
        <w:gridCol w:w="2430"/>
        <w:gridCol w:w="2970"/>
      </w:tblGrid>
      <w:tr w:rsidR="007E476B" w14:paraId="7E2B0696" w14:textId="77777777" w:rsidTr="007E476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5" w:type="dxa"/>
          </w:tcPr>
          <w:bookmarkEnd w:id="194"/>
          <w:p w14:paraId="67DA0064" w14:textId="2211863C" w:rsidR="007E476B" w:rsidRDefault="007E476B">
            <w:pPr>
              <w:spacing w:before="20" w:after="20"/>
              <w:contextualSpacing/>
              <w:jc w:val="center"/>
            </w:pPr>
            <w:r>
              <w:t>Topic</w:t>
            </w:r>
          </w:p>
        </w:tc>
        <w:tc>
          <w:tcPr>
            <w:tcW w:w="2430" w:type="dxa"/>
          </w:tcPr>
          <w:p w14:paraId="314DF543" w14:textId="77777777" w:rsidR="007E476B" w:rsidRDefault="007E476B">
            <w:pPr>
              <w:spacing w:before="20" w:after="20"/>
              <w:contextualSpacing/>
              <w:jc w:val="center"/>
              <w:cnfStyle w:val="100000000000" w:firstRow="1" w:lastRow="0" w:firstColumn="0" w:lastColumn="0" w:oddVBand="0" w:evenVBand="0" w:oddHBand="0" w:evenHBand="0" w:firstRowFirstColumn="0" w:firstRowLastColumn="0" w:lastRowFirstColumn="0" w:lastRowLastColumn="0"/>
            </w:pPr>
            <w:r>
              <w:t>Phone</w:t>
            </w:r>
          </w:p>
        </w:tc>
        <w:tc>
          <w:tcPr>
            <w:tcW w:w="2970" w:type="dxa"/>
          </w:tcPr>
          <w:p w14:paraId="16C6EBA0" w14:textId="77777777" w:rsidR="007E476B" w:rsidRDefault="007E476B">
            <w:pPr>
              <w:spacing w:before="20" w:after="20"/>
              <w:contextualSpacing/>
              <w:jc w:val="center"/>
              <w:cnfStyle w:val="100000000000" w:firstRow="1" w:lastRow="0" w:firstColumn="0" w:lastColumn="0" w:oddVBand="0" w:evenVBand="0" w:oddHBand="0" w:evenHBand="0" w:firstRowFirstColumn="0" w:firstRowLastColumn="0" w:lastRowFirstColumn="0" w:lastRowLastColumn="0"/>
            </w:pPr>
            <w:r>
              <w:t>Email</w:t>
            </w:r>
          </w:p>
        </w:tc>
      </w:tr>
      <w:tr w:rsidR="007E476B" w14:paraId="4BD6E3F9" w14:textId="77777777" w:rsidTr="007E476B">
        <w:trPr>
          <w:trHeight w:val="300"/>
        </w:trPr>
        <w:tc>
          <w:tcPr>
            <w:cnfStyle w:val="001000000000" w:firstRow="0" w:lastRow="0" w:firstColumn="1" w:lastColumn="0" w:oddVBand="0" w:evenVBand="0" w:oddHBand="0" w:evenHBand="0" w:firstRowFirstColumn="0" w:firstRowLastColumn="0" w:lastRowFirstColumn="0" w:lastRowLastColumn="0"/>
            <w:tcW w:w="4045" w:type="dxa"/>
          </w:tcPr>
          <w:p w14:paraId="53A896F0" w14:textId="5C388A9C" w:rsidR="007E476B" w:rsidRPr="008A779F" w:rsidRDefault="007E476B">
            <w:pPr>
              <w:spacing w:before="20" w:after="20"/>
              <w:contextualSpacing/>
              <w:rPr>
                <w:b w:val="0"/>
                <w:bCs w:val="0"/>
              </w:rPr>
            </w:pPr>
            <w:r w:rsidRPr="008A779F">
              <w:rPr>
                <w:b w:val="0"/>
                <w:bCs w:val="0"/>
              </w:rPr>
              <w:t>Suitability case related questions</w:t>
            </w:r>
          </w:p>
        </w:tc>
        <w:tc>
          <w:tcPr>
            <w:tcW w:w="2430" w:type="dxa"/>
          </w:tcPr>
          <w:p w14:paraId="05B34524" w14:textId="566A1585" w:rsidR="007E476B" w:rsidRDefault="007E476B">
            <w:pPr>
              <w:spacing w:before="20" w:after="20"/>
              <w:contextualSpacing/>
              <w:cnfStyle w:val="000000000000" w:firstRow="0" w:lastRow="0" w:firstColumn="0" w:lastColumn="0" w:oddVBand="0" w:evenVBand="0" w:oddHBand="0" w:evenHBand="0" w:firstRowFirstColumn="0" w:firstRowLastColumn="0" w:lastRowFirstColumn="0" w:lastRowLastColumn="0"/>
            </w:pPr>
            <w:r>
              <w:t>(202) 599-0090, option 1</w:t>
            </w:r>
          </w:p>
        </w:tc>
        <w:tc>
          <w:tcPr>
            <w:tcW w:w="2970" w:type="dxa"/>
            <w:shd w:val="clear" w:color="auto" w:fill="000000" w:themeFill="text1"/>
          </w:tcPr>
          <w:p w14:paraId="49702249" w14:textId="3EC872AC" w:rsidR="007E476B" w:rsidRDefault="007E476B">
            <w:pPr>
              <w:spacing w:before="20" w:after="20"/>
              <w:contextualSpacing/>
              <w:cnfStyle w:val="000000000000" w:firstRow="0" w:lastRow="0" w:firstColumn="0" w:lastColumn="0" w:oddVBand="0" w:evenVBand="0" w:oddHBand="0" w:evenHBand="0" w:firstRowFirstColumn="0" w:firstRowLastColumn="0" w:lastRowFirstColumn="0" w:lastRowLastColumn="0"/>
            </w:pPr>
          </w:p>
        </w:tc>
      </w:tr>
      <w:tr w:rsidR="007E476B" w14:paraId="1108C263" w14:textId="77777777" w:rsidTr="007E476B">
        <w:trPr>
          <w:trHeight w:val="300"/>
        </w:trPr>
        <w:tc>
          <w:tcPr>
            <w:cnfStyle w:val="001000000000" w:firstRow="0" w:lastRow="0" w:firstColumn="1" w:lastColumn="0" w:oddVBand="0" w:evenVBand="0" w:oddHBand="0" w:evenHBand="0" w:firstRowFirstColumn="0" w:firstRowLastColumn="0" w:lastRowFirstColumn="0" w:lastRowLastColumn="0"/>
            <w:tcW w:w="4045" w:type="dxa"/>
          </w:tcPr>
          <w:p w14:paraId="0DF497B5" w14:textId="003A343E" w:rsidR="007E476B" w:rsidRPr="008A779F" w:rsidRDefault="007E476B">
            <w:pPr>
              <w:spacing w:before="20" w:after="20"/>
              <w:contextualSpacing/>
              <w:rPr>
                <w:b w:val="0"/>
                <w:bCs w:val="0"/>
              </w:rPr>
            </w:pPr>
            <w:r w:rsidRPr="008A779F">
              <w:rPr>
                <w:b w:val="0"/>
                <w:bCs w:val="0"/>
              </w:rPr>
              <w:t>Policy related questions (suitability, fitness, credentialing, forms, or general vetting policy)</w:t>
            </w:r>
          </w:p>
        </w:tc>
        <w:tc>
          <w:tcPr>
            <w:tcW w:w="2430" w:type="dxa"/>
          </w:tcPr>
          <w:p w14:paraId="7B6CC2D5" w14:textId="78D8D1D4" w:rsidR="007E476B" w:rsidRDefault="007E476B">
            <w:pPr>
              <w:spacing w:before="20" w:after="20"/>
              <w:contextualSpacing/>
              <w:cnfStyle w:val="000000000000" w:firstRow="0" w:lastRow="0" w:firstColumn="0" w:lastColumn="0" w:oddVBand="0" w:evenVBand="0" w:oddHBand="0" w:evenHBand="0" w:firstRowFirstColumn="0" w:firstRowLastColumn="0" w:lastRowFirstColumn="0" w:lastRowLastColumn="0"/>
            </w:pPr>
            <w:r>
              <w:t>(202) 599-0090, option 2</w:t>
            </w:r>
          </w:p>
        </w:tc>
        <w:tc>
          <w:tcPr>
            <w:tcW w:w="2970" w:type="dxa"/>
          </w:tcPr>
          <w:p w14:paraId="303C4C26" w14:textId="22BFF648" w:rsidR="007E476B" w:rsidRDefault="005E0ACB">
            <w:pPr>
              <w:spacing w:before="20" w:after="20"/>
              <w:contextualSpacing/>
              <w:cnfStyle w:val="000000000000" w:firstRow="0" w:lastRow="0" w:firstColumn="0" w:lastColumn="0" w:oddVBand="0" w:evenVBand="0" w:oddHBand="0" w:evenHBand="0" w:firstRowFirstColumn="0" w:firstRowLastColumn="0" w:lastRowFirstColumn="0" w:lastRowLastColumn="0"/>
            </w:pPr>
            <w:hyperlink r:id="rId32" w:history="1">
              <w:r w:rsidR="007E476B" w:rsidRPr="006D190F">
                <w:rPr>
                  <w:rStyle w:val="Hyperlink"/>
                </w:rPr>
                <w:t>SuitEA@opm.gov</w:t>
              </w:r>
            </w:hyperlink>
            <w:r w:rsidR="007E476B">
              <w:t xml:space="preserve">  or </w:t>
            </w:r>
            <w:hyperlink r:id="rId33" w:history="1">
              <w:r w:rsidR="007E476B" w:rsidRPr="006D190F">
                <w:rPr>
                  <w:rStyle w:val="Hyperlink"/>
                </w:rPr>
                <w:t>CredEA@opm.gov</w:t>
              </w:r>
            </w:hyperlink>
          </w:p>
          <w:p w14:paraId="167B5B8B" w14:textId="5BF9971F" w:rsidR="007E476B" w:rsidRDefault="007E476B">
            <w:pPr>
              <w:spacing w:before="20" w:after="20"/>
              <w:contextualSpacing/>
              <w:cnfStyle w:val="000000000000" w:firstRow="0" w:lastRow="0" w:firstColumn="0" w:lastColumn="0" w:oddVBand="0" w:evenVBand="0" w:oddHBand="0" w:evenHBand="0" w:firstRowFirstColumn="0" w:firstRowLastColumn="0" w:lastRowFirstColumn="0" w:lastRowLastColumn="0"/>
            </w:pPr>
          </w:p>
        </w:tc>
      </w:tr>
      <w:tr w:rsidR="007E476B" w14:paraId="18CAD68E" w14:textId="77777777" w:rsidTr="007E476B">
        <w:trPr>
          <w:trHeight w:val="300"/>
        </w:trPr>
        <w:tc>
          <w:tcPr>
            <w:cnfStyle w:val="001000000000" w:firstRow="0" w:lastRow="0" w:firstColumn="1" w:lastColumn="0" w:oddVBand="0" w:evenVBand="0" w:oddHBand="0" w:evenHBand="0" w:firstRowFirstColumn="0" w:firstRowLastColumn="0" w:lastRowFirstColumn="0" w:lastRowLastColumn="0"/>
            <w:tcW w:w="4045" w:type="dxa"/>
          </w:tcPr>
          <w:p w14:paraId="1597C339" w14:textId="77777777" w:rsidR="007E476B" w:rsidRPr="008A779F" w:rsidRDefault="007E476B">
            <w:pPr>
              <w:spacing w:before="20" w:after="20"/>
              <w:contextualSpacing/>
              <w:rPr>
                <w:b w:val="0"/>
                <w:bCs w:val="0"/>
              </w:rPr>
            </w:pPr>
            <w:r w:rsidRPr="008A779F">
              <w:rPr>
                <w:b w:val="0"/>
                <w:bCs w:val="0"/>
              </w:rPr>
              <w:t>Oversight</w:t>
            </w:r>
          </w:p>
        </w:tc>
        <w:tc>
          <w:tcPr>
            <w:tcW w:w="2430" w:type="dxa"/>
          </w:tcPr>
          <w:p w14:paraId="7A292464" w14:textId="77CAA9A2" w:rsidR="007E476B" w:rsidRDefault="007E476B" w:rsidP="007E476B">
            <w:pPr>
              <w:spacing w:before="20" w:after="20"/>
              <w:contextualSpacing/>
              <w:cnfStyle w:val="000000000000" w:firstRow="0" w:lastRow="0" w:firstColumn="0" w:lastColumn="0" w:oddVBand="0" w:evenVBand="0" w:oddHBand="0" w:evenHBand="0" w:firstRowFirstColumn="0" w:firstRowLastColumn="0" w:lastRowFirstColumn="0" w:lastRowLastColumn="0"/>
            </w:pPr>
            <w:r>
              <w:t>(202)-599-0090 option 4</w:t>
            </w:r>
          </w:p>
        </w:tc>
        <w:tc>
          <w:tcPr>
            <w:tcW w:w="2970" w:type="dxa"/>
            <w:shd w:val="clear" w:color="auto" w:fill="000000" w:themeFill="text1"/>
          </w:tcPr>
          <w:p w14:paraId="1766037F" w14:textId="77777777" w:rsidR="007E476B" w:rsidRDefault="007E476B">
            <w:pPr>
              <w:spacing w:before="20" w:after="20"/>
              <w:contextualSpacing/>
              <w:cnfStyle w:val="000000000000" w:firstRow="0" w:lastRow="0" w:firstColumn="0" w:lastColumn="0" w:oddVBand="0" w:evenVBand="0" w:oddHBand="0" w:evenHBand="0" w:firstRowFirstColumn="0" w:firstRowLastColumn="0" w:lastRowFirstColumn="0" w:lastRowLastColumn="0"/>
            </w:pPr>
          </w:p>
        </w:tc>
      </w:tr>
      <w:tr w:rsidR="007E476B" w14:paraId="46C9CBF2" w14:textId="77777777" w:rsidTr="007E476B">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4045" w:type="dxa"/>
            <w:shd w:val="clear" w:color="auto" w:fill="FFFFFF" w:themeFill="background1"/>
          </w:tcPr>
          <w:p w14:paraId="3DA2758A" w14:textId="7FD7709B" w:rsidR="007E476B" w:rsidRPr="008A779F" w:rsidRDefault="007E476B">
            <w:pPr>
              <w:spacing w:before="20" w:after="20"/>
              <w:contextualSpacing/>
              <w:rPr>
                <w:b w:val="0"/>
                <w:bCs w:val="0"/>
              </w:rPr>
            </w:pPr>
            <w:r w:rsidRPr="008A779F">
              <w:rPr>
                <w:b w:val="0"/>
                <w:bCs w:val="0"/>
              </w:rPr>
              <w:t>SuitEA training offerings</w:t>
            </w:r>
          </w:p>
        </w:tc>
        <w:tc>
          <w:tcPr>
            <w:tcW w:w="2430" w:type="dxa"/>
            <w:shd w:val="clear" w:color="auto" w:fill="FFFFFF" w:themeFill="background1"/>
          </w:tcPr>
          <w:p w14:paraId="1C83F591" w14:textId="410AC93C" w:rsidR="007E476B" w:rsidRDefault="007E476B">
            <w:pPr>
              <w:spacing w:before="20" w:after="20"/>
              <w:contextualSpacing/>
              <w:cnfStyle w:val="000000000000" w:firstRow="0" w:lastRow="0" w:firstColumn="0" w:lastColumn="0" w:oddVBand="0" w:evenVBand="0" w:oddHBand="0" w:evenHBand="0" w:firstRowFirstColumn="0" w:firstRowLastColumn="0" w:lastRowFirstColumn="0" w:lastRowLastColumn="0"/>
            </w:pPr>
            <w:r>
              <w:t>(202) 599-0090, option 3</w:t>
            </w:r>
          </w:p>
        </w:tc>
        <w:tc>
          <w:tcPr>
            <w:tcW w:w="2970" w:type="dxa"/>
            <w:shd w:val="clear" w:color="auto" w:fill="FFFFFF" w:themeFill="background1"/>
          </w:tcPr>
          <w:p w14:paraId="0D708BA1" w14:textId="77777777" w:rsidR="007E476B" w:rsidRDefault="005E0ACB">
            <w:pPr>
              <w:spacing w:before="20" w:after="20"/>
              <w:contextualSpacing/>
              <w:cnfStyle w:val="000000000000" w:firstRow="0" w:lastRow="0" w:firstColumn="0" w:lastColumn="0" w:oddVBand="0" w:evenVBand="0" w:oddHBand="0" w:evenHBand="0" w:firstRowFirstColumn="0" w:firstRowLastColumn="0" w:lastRowFirstColumn="0" w:lastRowLastColumn="0"/>
            </w:pPr>
            <w:hyperlink r:id="rId34" w:history="1">
              <w:r w:rsidR="007E476B" w:rsidRPr="008033E7">
                <w:rPr>
                  <w:rStyle w:val="Hyperlink"/>
                </w:rPr>
                <w:t>SuitEAtraining@opm.gov</w:t>
              </w:r>
            </w:hyperlink>
            <w:r w:rsidR="007E476B">
              <w:t xml:space="preserve"> </w:t>
            </w:r>
          </w:p>
        </w:tc>
      </w:tr>
    </w:tbl>
    <w:p w14:paraId="4EAD8A2F" w14:textId="77777777" w:rsidR="00764566" w:rsidRDefault="00764566">
      <w:pPr>
        <w:sectPr w:rsidR="00764566" w:rsidSect="00E55EF0">
          <w:headerReference w:type="default" r:id="rId35"/>
          <w:pgSz w:w="12240" w:h="15840"/>
          <w:pgMar w:top="1440" w:right="1440" w:bottom="1440" w:left="1440" w:header="720" w:footer="720" w:gutter="0"/>
          <w:cols w:space="720"/>
          <w:docGrid w:linePitch="360"/>
        </w:sectPr>
      </w:pPr>
    </w:p>
    <w:p w14:paraId="513A09F3" w14:textId="36352823" w:rsidR="008A779F" w:rsidRPr="003A6EEC" w:rsidRDefault="008A779F" w:rsidP="008A779F">
      <w:pPr>
        <w:pStyle w:val="Heading2"/>
        <w:rPr>
          <w:rStyle w:val="normaltextrun"/>
        </w:rPr>
      </w:pPr>
      <w:bookmarkStart w:id="195" w:name="_Toc187924194"/>
      <w:r w:rsidRPr="36A80A07">
        <w:rPr>
          <w:rStyle w:val="normaltextrun"/>
        </w:rPr>
        <w:lastRenderedPageBreak/>
        <w:t>7.</w:t>
      </w:r>
      <w:r w:rsidR="7788D6E1" w:rsidRPr="36A80A07">
        <w:rPr>
          <w:rStyle w:val="normaltextrun"/>
        </w:rPr>
        <w:t>4</w:t>
      </w:r>
      <w:r w:rsidRPr="36A80A07">
        <w:rPr>
          <w:rStyle w:val="normaltextrun"/>
        </w:rPr>
        <w:t xml:space="preserve"> – Sample Letters [Reserved]</w:t>
      </w:r>
      <w:bookmarkEnd w:id="195"/>
    </w:p>
    <w:p w14:paraId="433B33AB" w14:textId="77777777" w:rsidR="008A779F" w:rsidRDefault="008A779F" w:rsidP="000B28C2">
      <w:pPr>
        <w:spacing w:after="160" w:line="259" w:lineRule="auto"/>
        <w:rPr>
          <w:rStyle w:val="normaltextrun"/>
          <w:b/>
          <w:bCs/>
          <w:color w:val="093453"/>
          <w:sz w:val="36"/>
          <w:szCs w:val="36"/>
          <w:shd w:val="clear" w:color="auto" w:fill="FFFFFF"/>
        </w:rPr>
      </w:pPr>
    </w:p>
    <w:p w14:paraId="4EDDFB4C" w14:textId="076CEAF3" w:rsidR="00764566" w:rsidRPr="001643B4" w:rsidRDefault="00764566" w:rsidP="003A7E5A">
      <w:pPr>
        <w:pStyle w:val="H1"/>
        <w:spacing w:after="0"/>
        <w:rPr>
          <w:rFonts w:eastAsia="Arial" w:cs="Arial"/>
        </w:rPr>
      </w:pPr>
    </w:p>
    <w:sectPr w:rsidR="00764566" w:rsidRPr="001643B4" w:rsidSect="009F3C04">
      <w:headerReference w:type="default" r:id="rId36"/>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1E30D" w14:textId="77777777" w:rsidR="00572A6E" w:rsidRDefault="00572A6E" w:rsidP="009F7B1F">
      <w:pPr>
        <w:spacing w:after="0"/>
      </w:pPr>
      <w:r>
        <w:separator/>
      </w:r>
    </w:p>
  </w:endnote>
  <w:endnote w:type="continuationSeparator" w:id="0">
    <w:p w14:paraId="430629D8" w14:textId="77777777" w:rsidR="00572A6E" w:rsidRDefault="00572A6E" w:rsidP="009F7B1F">
      <w:pPr>
        <w:spacing w:after="0"/>
      </w:pPr>
      <w:r>
        <w:continuationSeparator/>
      </w:r>
    </w:p>
  </w:endnote>
  <w:endnote w:type="continuationNotice" w:id="1">
    <w:p w14:paraId="74756B6B" w14:textId="77777777" w:rsidR="00572A6E" w:rsidRDefault="00572A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erif Pro">
    <w:panose1 w:val="02040603050405020204"/>
    <w:charset w:val="00"/>
    <w:family w:val="roman"/>
    <w:pitch w:val="variable"/>
    <w:sig w:usb0="20000287" w:usb1="02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ource Sans Pro">
    <w:panose1 w:val="020B0503030403020204"/>
    <w:charset w:val="00"/>
    <w:family w:val="swiss"/>
    <w:pitch w:val="variable"/>
    <w:sig w:usb0="600002F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 w:name="Sans Serif Collection">
    <w:panose1 w:val="020B0502040504020204"/>
    <w:charset w:val="00"/>
    <w:family w:val="swiss"/>
    <w:pitch w:val="variable"/>
    <w:sig w:usb0="8007A0C3" w:usb1="02006040" w:usb2="29100001"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6F389" w14:textId="77777777" w:rsidR="00764566" w:rsidRDefault="00764566" w:rsidP="009F7B1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F34F1" w14:textId="77777777" w:rsidR="00572A6E" w:rsidRDefault="00572A6E" w:rsidP="009F7B1F">
      <w:pPr>
        <w:spacing w:after="0"/>
      </w:pPr>
      <w:r>
        <w:separator/>
      </w:r>
    </w:p>
  </w:footnote>
  <w:footnote w:type="continuationSeparator" w:id="0">
    <w:p w14:paraId="46E08788" w14:textId="77777777" w:rsidR="00572A6E" w:rsidRDefault="00572A6E" w:rsidP="009F7B1F">
      <w:pPr>
        <w:spacing w:after="0"/>
      </w:pPr>
      <w:r>
        <w:continuationSeparator/>
      </w:r>
    </w:p>
  </w:footnote>
  <w:footnote w:type="continuationNotice" w:id="1">
    <w:p w14:paraId="08C5A637" w14:textId="77777777" w:rsidR="00572A6E" w:rsidRDefault="00572A6E">
      <w:pPr>
        <w:spacing w:after="0"/>
      </w:pPr>
    </w:p>
  </w:footnote>
  <w:footnote w:id="2">
    <w:p w14:paraId="23A1517B" w14:textId="77777777" w:rsidR="001E708D" w:rsidRDefault="001E708D" w:rsidP="001E708D">
      <w:pPr>
        <w:pStyle w:val="FootnoteText"/>
      </w:pPr>
      <w:r>
        <w:rPr>
          <w:rStyle w:val="FootnoteReference"/>
        </w:rPr>
        <w:footnoteRef/>
      </w:r>
      <w:r>
        <w:t xml:space="preserve"> See the </w:t>
      </w:r>
      <w:hyperlink r:id="rId1" w:anchor=":~:text=I.-,Overview,up%20a%20trusted%20Federal%20workforce." w:history="1">
        <w:r w:rsidRPr="004C11B0">
          <w:rPr>
            <w:rStyle w:val="Hyperlink"/>
          </w:rPr>
          <w:t>Federal Personnel Vetting Core Doctrine, January 13, 2021</w:t>
        </w:r>
      </w:hyperlink>
      <w:r>
        <w:t>.</w:t>
      </w:r>
    </w:p>
  </w:footnote>
  <w:footnote w:id="3">
    <w:p w14:paraId="7EBFA303" w14:textId="5FC6C030" w:rsidR="001E708D" w:rsidRDefault="001E708D" w:rsidP="001E708D">
      <w:pPr>
        <w:pStyle w:val="FootnoteText"/>
      </w:pPr>
      <w:r>
        <w:rPr>
          <w:rStyle w:val="FootnoteReference"/>
        </w:rPr>
        <w:footnoteRef/>
      </w:r>
      <w:r>
        <w:t xml:space="preserve"> </w:t>
      </w:r>
      <w:hyperlink r:id="rId2" w:history="1">
        <w:r w:rsidRPr="00984F3E">
          <w:rPr>
            <w:rStyle w:val="Hyperlink"/>
          </w:rPr>
          <w:t>NBIS</w:t>
        </w:r>
      </w:hyperlink>
      <w:r>
        <w:t xml:space="preserve"> is the Federa</w:t>
      </w:r>
      <w:r w:rsidR="004007B0">
        <w:t>l</w:t>
      </w:r>
      <w:r>
        <w:t xml:space="preserve"> Government</w:t>
      </w:r>
      <w:r w:rsidR="00DA614C">
        <w:t>’</w:t>
      </w:r>
      <w:r>
        <w:t xml:space="preserve">s IT system for end-to-end personnel vetting. </w:t>
      </w:r>
    </w:p>
  </w:footnote>
  <w:footnote w:id="4">
    <w:p w14:paraId="5FC65CFF" w14:textId="168EF6FB" w:rsidR="00E4113A" w:rsidRPr="00E4113A" w:rsidRDefault="00E4113A">
      <w:pPr>
        <w:pStyle w:val="FootnoteText"/>
      </w:pPr>
      <w:r>
        <w:rPr>
          <w:rStyle w:val="FootnoteReference"/>
        </w:rPr>
        <w:footnoteRef/>
      </w:r>
      <w:r>
        <w:t xml:space="preserve"> See </w:t>
      </w:r>
      <w:r>
        <w:rPr>
          <w:b/>
          <w:bCs/>
        </w:rPr>
        <w:t>Final Credentialing Standards for Issuing Personal Identity Verification Cards under HSPD-12</w:t>
      </w:r>
      <w:r>
        <w:t xml:space="preserve">, July 2008, and </w:t>
      </w:r>
      <w:r>
        <w:rPr>
          <w:b/>
          <w:bCs/>
        </w:rPr>
        <w:t>Credentialing Standards Procedures for Issuing Personal Identity Verification Cards under HSPD-12 and New Requirement for Suspension or Revocation of Eligibility for Personal Identity Verification Credentials</w:t>
      </w:r>
      <w:r>
        <w:t>.</w:t>
      </w:r>
    </w:p>
  </w:footnote>
  <w:footnote w:id="5">
    <w:p w14:paraId="11B6224B" w14:textId="74E7620B" w:rsidR="0060492B" w:rsidRPr="00EA2990" w:rsidRDefault="0060492B">
      <w:pPr>
        <w:pStyle w:val="FootnoteText"/>
      </w:pPr>
      <w:r>
        <w:rPr>
          <w:rStyle w:val="FootnoteReference"/>
        </w:rPr>
        <w:footnoteRef/>
      </w:r>
      <w:r>
        <w:t xml:space="preserve"> See </w:t>
      </w:r>
      <w:hyperlink r:id="rId3" w:history="1">
        <w:r w:rsidRPr="00EA2990">
          <w:rPr>
            <w:rStyle w:val="Hyperlink"/>
            <w:i/>
            <w:iCs/>
          </w:rPr>
          <w:t>Scott v. Office of Personnel Management</w:t>
        </w:r>
      </w:hyperlink>
      <w:r w:rsidR="00EA2990">
        <w:t>, precedential Merit Systems Protection Board, 2012.</w:t>
      </w:r>
    </w:p>
  </w:footnote>
  <w:footnote w:id="6">
    <w:p w14:paraId="005F9F45" w14:textId="77777777" w:rsidR="00F47DF7" w:rsidRDefault="00F47DF7" w:rsidP="00F47DF7">
      <w:pPr>
        <w:pStyle w:val="FootnoteText"/>
      </w:pPr>
      <w:r>
        <w:rPr>
          <w:rStyle w:val="FootnoteReference"/>
        </w:rPr>
        <w:footnoteRef/>
      </w:r>
      <w:r>
        <w:t xml:space="preserve"> </w:t>
      </w:r>
      <w:r w:rsidRPr="02DB6E7A">
        <w:rPr>
          <w:rFonts w:ascii="Calibri" w:eastAsia="Calibri" w:hAnsi="Calibri" w:cs="Calibri"/>
        </w:rPr>
        <w:t>See Devitto v. Office of Personnel Management, 61 M.S.P.R. 297, 302 (1994); McClain v. Office of Personnel Management, 76 M.S.P.R. 230, 235-41 (1997); Pappas v. Office of Personnel Management, 76 M.S.P.R. 152, 159-60 (1997), affirmed 155 F.3d 565 (1998)</w:t>
      </w:r>
    </w:p>
  </w:footnote>
  <w:footnote w:id="7">
    <w:p w14:paraId="7A09EDE6" w14:textId="2112E728" w:rsidR="008338E3" w:rsidRDefault="008338E3">
      <w:pPr>
        <w:pStyle w:val="FootnoteText"/>
      </w:pPr>
      <w:r>
        <w:rPr>
          <w:rStyle w:val="FootnoteReference"/>
        </w:rPr>
        <w:footnoteRef/>
      </w:r>
      <w:r>
        <w:t xml:space="preserve"> See Buhl v. Office of Personnel Management, 37 M.S.P.R. 305, 313 (1988)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23C96" w14:textId="77777777" w:rsidR="00764566" w:rsidRDefault="0076456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C7FFC" w14:textId="77777777" w:rsidR="00764566" w:rsidRDefault="00764566">
    <w:pPr>
      <w:pStyle w:val="Header"/>
      <w:jc w:val="right"/>
    </w:pPr>
  </w:p>
</w:hdr>
</file>

<file path=word/intelligence2.xml><?xml version="1.0" encoding="utf-8"?>
<int2:intelligence xmlns:int2="http://schemas.microsoft.com/office/intelligence/2020/intelligence" xmlns:oel="http://schemas.microsoft.com/office/2019/extlst">
  <int2:observations>
    <int2:textHash int2:hashCode="+8PNmoH/LPTgJZ" int2:id="acYnwjT3">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DE7"/>
    <w:multiLevelType w:val="hybridMultilevel"/>
    <w:tmpl w:val="5856571C"/>
    <w:lvl w:ilvl="0" w:tplc="FFFFFFFF">
      <w:start w:val="1"/>
      <w:numFmt w:val="bullet"/>
      <w:lvlText w:val="-"/>
      <w:lvlJc w:val="left"/>
      <w:pPr>
        <w:ind w:left="420" w:hanging="360"/>
      </w:pPr>
      <w:rPr>
        <w:rFonts w:ascii="Calibri" w:eastAsia="Calibri" w:hAnsi="Calibri" w:cs="Times New Roman" w:hint="default"/>
      </w:rPr>
    </w:lvl>
    <w:lvl w:ilvl="1" w:tplc="FFFFFFFF">
      <w:start w:val="1"/>
      <w:numFmt w:val="bullet"/>
      <w:lvlText w:val="-"/>
      <w:lvlJc w:val="left"/>
      <w:pPr>
        <w:ind w:left="1140" w:hanging="360"/>
      </w:pPr>
      <w:rPr>
        <w:rFonts w:ascii="Calibri" w:eastAsia="Calibri" w:hAnsi="Calibri" w:cs="Times New Roman" w:hint="default"/>
      </w:rPr>
    </w:lvl>
    <w:lvl w:ilvl="2" w:tplc="04090001">
      <w:start w:val="1"/>
      <w:numFmt w:val="bullet"/>
      <w:lvlText w:val=""/>
      <w:lvlJc w:val="left"/>
      <w:pPr>
        <w:ind w:left="1860" w:hanging="360"/>
      </w:pPr>
      <w:rPr>
        <w:rFonts w:ascii="Symbol" w:hAnsi="Symbol"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 w15:restartNumberingAfterBreak="0">
    <w:nsid w:val="033A7CF1"/>
    <w:multiLevelType w:val="hybridMultilevel"/>
    <w:tmpl w:val="407E8ACA"/>
    <w:lvl w:ilvl="0" w:tplc="5A48DF02">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B7EDB"/>
    <w:multiLevelType w:val="hybridMultilevel"/>
    <w:tmpl w:val="49967CEC"/>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956F94B"/>
    <w:multiLevelType w:val="hybridMultilevel"/>
    <w:tmpl w:val="DD628C28"/>
    <w:lvl w:ilvl="0" w:tplc="5D5E6456">
      <w:start w:val="1"/>
      <w:numFmt w:val="bullet"/>
      <w:lvlText w:val=""/>
      <w:lvlJc w:val="left"/>
      <w:pPr>
        <w:ind w:left="720" w:hanging="360"/>
      </w:pPr>
      <w:rPr>
        <w:rFonts w:ascii="Symbol" w:hAnsi="Symbol" w:hint="default"/>
      </w:rPr>
    </w:lvl>
    <w:lvl w:ilvl="1" w:tplc="C2524C68">
      <w:start w:val="1"/>
      <w:numFmt w:val="bullet"/>
      <w:lvlText w:val="o"/>
      <w:lvlJc w:val="left"/>
      <w:pPr>
        <w:ind w:left="1440" w:hanging="360"/>
      </w:pPr>
      <w:rPr>
        <w:rFonts w:ascii="Courier New" w:hAnsi="Courier New" w:hint="default"/>
      </w:rPr>
    </w:lvl>
    <w:lvl w:ilvl="2" w:tplc="A9828D28">
      <w:start w:val="1"/>
      <w:numFmt w:val="bullet"/>
      <w:lvlText w:val=""/>
      <w:lvlJc w:val="left"/>
      <w:pPr>
        <w:ind w:left="2160" w:hanging="360"/>
      </w:pPr>
      <w:rPr>
        <w:rFonts w:ascii="Wingdings" w:hAnsi="Wingdings" w:hint="default"/>
      </w:rPr>
    </w:lvl>
    <w:lvl w:ilvl="3" w:tplc="C068FDF4">
      <w:start w:val="1"/>
      <w:numFmt w:val="bullet"/>
      <w:lvlText w:val=""/>
      <w:lvlJc w:val="left"/>
      <w:pPr>
        <w:ind w:left="2880" w:hanging="360"/>
      </w:pPr>
      <w:rPr>
        <w:rFonts w:ascii="Symbol" w:hAnsi="Symbol" w:hint="default"/>
      </w:rPr>
    </w:lvl>
    <w:lvl w:ilvl="4" w:tplc="19542336">
      <w:start w:val="1"/>
      <w:numFmt w:val="bullet"/>
      <w:lvlText w:val="o"/>
      <w:lvlJc w:val="left"/>
      <w:pPr>
        <w:ind w:left="3600" w:hanging="360"/>
      </w:pPr>
      <w:rPr>
        <w:rFonts w:ascii="Courier New" w:hAnsi="Courier New" w:hint="default"/>
      </w:rPr>
    </w:lvl>
    <w:lvl w:ilvl="5" w:tplc="1C924C50">
      <w:start w:val="1"/>
      <w:numFmt w:val="bullet"/>
      <w:lvlText w:val=""/>
      <w:lvlJc w:val="left"/>
      <w:pPr>
        <w:ind w:left="4320" w:hanging="360"/>
      </w:pPr>
      <w:rPr>
        <w:rFonts w:ascii="Wingdings" w:hAnsi="Wingdings" w:hint="default"/>
      </w:rPr>
    </w:lvl>
    <w:lvl w:ilvl="6" w:tplc="21146830">
      <w:start w:val="1"/>
      <w:numFmt w:val="bullet"/>
      <w:lvlText w:val=""/>
      <w:lvlJc w:val="left"/>
      <w:pPr>
        <w:ind w:left="5040" w:hanging="360"/>
      </w:pPr>
      <w:rPr>
        <w:rFonts w:ascii="Symbol" w:hAnsi="Symbol" w:hint="default"/>
      </w:rPr>
    </w:lvl>
    <w:lvl w:ilvl="7" w:tplc="8CD67AB4">
      <w:start w:val="1"/>
      <w:numFmt w:val="bullet"/>
      <w:lvlText w:val="o"/>
      <w:lvlJc w:val="left"/>
      <w:pPr>
        <w:ind w:left="5760" w:hanging="360"/>
      </w:pPr>
      <w:rPr>
        <w:rFonts w:ascii="Courier New" w:hAnsi="Courier New" w:hint="default"/>
      </w:rPr>
    </w:lvl>
    <w:lvl w:ilvl="8" w:tplc="F08E0D78">
      <w:start w:val="1"/>
      <w:numFmt w:val="bullet"/>
      <w:lvlText w:val=""/>
      <w:lvlJc w:val="left"/>
      <w:pPr>
        <w:ind w:left="6480" w:hanging="360"/>
      </w:pPr>
      <w:rPr>
        <w:rFonts w:ascii="Wingdings" w:hAnsi="Wingdings" w:hint="default"/>
      </w:rPr>
    </w:lvl>
  </w:abstractNum>
  <w:abstractNum w:abstractNumId="4" w15:restartNumberingAfterBreak="0">
    <w:nsid w:val="0A72714F"/>
    <w:multiLevelType w:val="multilevel"/>
    <w:tmpl w:val="A7481978"/>
    <w:lvl w:ilvl="0">
      <w:start w:val="1"/>
      <w:numFmt w:val="decimal"/>
      <w:pStyle w:val="Heading1Appendix"/>
      <w:suff w:val="space"/>
      <w:lvlText w:val="Appendix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AA75AAD"/>
    <w:multiLevelType w:val="hybridMultilevel"/>
    <w:tmpl w:val="EA369B92"/>
    <w:lvl w:ilvl="0" w:tplc="BC187A06">
      <w:start w:val="1"/>
      <w:numFmt w:val="bullet"/>
      <w:lvlText w:val=""/>
      <w:lvlJc w:val="left"/>
      <w:pPr>
        <w:ind w:left="720" w:hanging="360"/>
      </w:pPr>
      <w:rPr>
        <w:rFonts w:ascii="Symbol" w:hAnsi="Symbol" w:hint="default"/>
      </w:rPr>
    </w:lvl>
    <w:lvl w:ilvl="1" w:tplc="AD3C8714">
      <w:start w:val="1"/>
      <w:numFmt w:val="bullet"/>
      <w:lvlText w:val="o"/>
      <w:lvlJc w:val="left"/>
      <w:pPr>
        <w:ind w:left="1440" w:hanging="360"/>
      </w:pPr>
      <w:rPr>
        <w:rFonts w:ascii="Courier New" w:hAnsi="Courier New" w:hint="default"/>
      </w:rPr>
    </w:lvl>
    <w:lvl w:ilvl="2" w:tplc="A3A4339C">
      <w:start w:val="1"/>
      <w:numFmt w:val="bullet"/>
      <w:lvlText w:val=""/>
      <w:lvlJc w:val="left"/>
      <w:pPr>
        <w:ind w:left="2160" w:hanging="360"/>
      </w:pPr>
      <w:rPr>
        <w:rFonts w:ascii="Wingdings" w:hAnsi="Wingdings" w:hint="default"/>
      </w:rPr>
    </w:lvl>
    <w:lvl w:ilvl="3" w:tplc="43B862BE">
      <w:start w:val="1"/>
      <w:numFmt w:val="bullet"/>
      <w:lvlText w:val=""/>
      <w:lvlJc w:val="left"/>
      <w:pPr>
        <w:ind w:left="2880" w:hanging="360"/>
      </w:pPr>
      <w:rPr>
        <w:rFonts w:ascii="Symbol" w:hAnsi="Symbol" w:hint="default"/>
      </w:rPr>
    </w:lvl>
    <w:lvl w:ilvl="4" w:tplc="92125934">
      <w:start w:val="1"/>
      <w:numFmt w:val="bullet"/>
      <w:lvlText w:val="o"/>
      <w:lvlJc w:val="left"/>
      <w:pPr>
        <w:ind w:left="3600" w:hanging="360"/>
      </w:pPr>
      <w:rPr>
        <w:rFonts w:ascii="Courier New" w:hAnsi="Courier New" w:hint="default"/>
      </w:rPr>
    </w:lvl>
    <w:lvl w:ilvl="5" w:tplc="778A8812">
      <w:start w:val="1"/>
      <w:numFmt w:val="bullet"/>
      <w:lvlText w:val=""/>
      <w:lvlJc w:val="left"/>
      <w:pPr>
        <w:ind w:left="4320" w:hanging="360"/>
      </w:pPr>
      <w:rPr>
        <w:rFonts w:ascii="Wingdings" w:hAnsi="Wingdings" w:hint="default"/>
      </w:rPr>
    </w:lvl>
    <w:lvl w:ilvl="6" w:tplc="B6B6FEC0">
      <w:start w:val="1"/>
      <w:numFmt w:val="bullet"/>
      <w:lvlText w:val=""/>
      <w:lvlJc w:val="left"/>
      <w:pPr>
        <w:ind w:left="5040" w:hanging="360"/>
      </w:pPr>
      <w:rPr>
        <w:rFonts w:ascii="Symbol" w:hAnsi="Symbol" w:hint="default"/>
      </w:rPr>
    </w:lvl>
    <w:lvl w:ilvl="7" w:tplc="B2D04C06">
      <w:start w:val="1"/>
      <w:numFmt w:val="bullet"/>
      <w:lvlText w:val="o"/>
      <w:lvlJc w:val="left"/>
      <w:pPr>
        <w:ind w:left="5760" w:hanging="360"/>
      </w:pPr>
      <w:rPr>
        <w:rFonts w:ascii="Courier New" w:hAnsi="Courier New" w:hint="default"/>
      </w:rPr>
    </w:lvl>
    <w:lvl w:ilvl="8" w:tplc="04EC38E2">
      <w:start w:val="1"/>
      <w:numFmt w:val="bullet"/>
      <w:lvlText w:val=""/>
      <w:lvlJc w:val="left"/>
      <w:pPr>
        <w:ind w:left="6480" w:hanging="360"/>
      </w:pPr>
      <w:rPr>
        <w:rFonts w:ascii="Wingdings" w:hAnsi="Wingdings" w:hint="default"/>
      </w:rPr>
    </w:lvl>
  </w:abstractNum>
  <w:abstractNum w:abstractNumId="6" w15:restartNumberingAfterBreak="0">
    <w:nsid w:val="0C97407D"/>
    <w:multiLevelType w:val="hybridMultilevel"/>
    <w:tmpl w:val="9884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F32A30"/>
    <w:multiLevelType w:val="hybridMultilevel"/>
    <w:tmpl w:val="BE3442F0"/>
    <w:lvl w:ilvl="0" w:tplc="04090005">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8" w15:restartNumberingAfterBreak="0">
    <w:nsid w:val="14CF0370"/>
    <w:multiLevelType w:val="hybridMultilevel"/>
    <w:tmpl w:val="D4D6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87CBA"/>
    <w:multiLevelType w:val="hybridMultilevel"/>
    <w:tmpl w:val="98D6CE18"/>
    <w:lvl w:ilvl="0" w:tplc="22B499C0">
      <w:start w:val="1"/>
      <w:numFmt w:val="bullet"/>
      <w:lvlText w:val=""/>
      <w:lvlJc w:val="left"/>
      <w:pPr>
        <w:ind w:left="720" w:hanging="360"/>
      </w:pPr>
      <w:rPr>
        <w:rFonts w:ascii="Symbol" w:hAnsi="Symbol" w:hint="default"/>
      </w:rPr>
    </w:lvl>
    <w:lvl w:ilvl="1" w:tplc="D6A03AB6">
      <w:start w:val="1"/>
      <w:numFmt w:val="bullet"/>
      <w:lvlText w:val="o"/>
      <w:lvlJc w:val="left"/>
      <w:pPr>
        <w:ind w:left="1440" w:hanging="360"/>
      </w:pPr>
      <w:rPr>
        <w:rFonts w:ascii="Courier New" w:hAnsi="Courier New" w:hint="default"/>
      </w:rPr>
    </w:lvl>
    <w:lvl w:ilvl="2" w:tplc="AD24BB02">
      <w:start w:val="1"/>
      <w:numFmt w:val="bullet"/>
      <w:lvlText w:val=""/>
      <w:lvlJc w:val="left"/>
      <w:pPr>
        <w:ind w:left="2160" w:hanging="360"/>
      </w:pPr>
      <w:rPr>
        <w:rFonts w:ascii="Wingdings" w:hAnsi="Wingdings" w:hint="default"/>
      </w:rPr>
    </w:lvl>
    <w:lvl w:ilvl="3" w:tplc="E7322386">
      <w:start w:val="1"/>
      <w:numFmt w:val="bullet"/>
      <w:lvlText w:val=""/>
      <w:lvlJc w:val="left"/>
      <w:pPr>
        <w:ind w:left="2880" w:hanging="360"/>
      </w:pPr>
      <w:rPr>
        <w:rFonts w:ascii="Symbol" w:hAnsi="Symbol" w:hint="default"/>
      </w:rPr>
    </w:lvl>
    <w:lvl w:ilvl="4" w:tplc="3C16653A">
      <w:start w:val="1"/>
      <w:numFmt w:val="bullet"/>
      <w:lvlText w:val="o"/>
      <w:lvlJc w:val="left"/>
      <w:pPr>
        <w:ind w:left="3600" w:hanging="360"/>
      </w:pPr>
      <w:rPr>
        <w:rFonts w:ascii="Courier New" w:hAnsi="Courier New" w:hint="default"/>
      </w:rPr>
    </w:lvl>
    <w:lvl w:ilvl="5" w:tplc="BDB682E6">
      <w:start w:val="1"/>
      <w:numFmt w:val="bullet"/>
      <w:lvlText w:val=""/>
      <w:lvlJc w:val="left"/>
      <w:pPr>
        <w:ind w:left="4320" w:hanging="360"/>
      </w:pPr>
      <w:rPr>
        <w:rFonts w:ascii="Wingdings" w:hAnsi="Wingdings" w:hint="default"/>
      </w:rPr>
    </w:lvl>
    <w:lvl w:ilvl="6" w:tplc="4F108896">
      <w:start w:val="1"/>
      <w:numFmt w:val="bullet"/>
      <w:lvlText w:val=""/>
      <w:lvlJc w:val="left"/>
      <w:pPr>
        <w:ind w:left="5040" w:hanging="360"/>
      </w:pPr>
      <w:rPr>
        <w:rFonts w:ascii="Symbol" w:hAnsi="Symbol" w:hint="default"/>
      </w:rPr>
    </w:lvl>
    <w:lvl w:ilvl="7" w:tplc="687CEAD8">
      <w:start w:val="1"/>
      <w:numFmt w:val="bullet"/>
      <w:lvlText w:val="o"/>
      <w:lvlJc w:val="left"/>
      <w:pPr>
        <w:ind w:left="5760" w:hanging="360"/>
      </w:pPr>
      <w:rPr>
        <w:rFonts w:ascii="Courier New" w:hAnsi="Courier New" w:hint="default"/>
      </w:rPr>
    </w:lvl>
    <w:lvl w:ilvl="8" w:tplc="FF0C0C46">
      <w:start w:val="1"/>
      <w:numFmt w:val="bullet"/>
      <w:lvlText w:val=""/>
      <w:lvlJc w:val="left"/>
      <w:pPr>
        <w:ind w:left="6480" w:hanging="360"/>
      </w:pPr>
      <w:rPr>
        <w:rFonts w:ascii="Wingdings" w:hAnsi="Wingdings" w:hint="default"/>
      </w:rPr>
    </w:lvl>
  </w:abstractNum>
  <w:abstractNum w:abstractNumId="10" w15:restartNumberingAfterBreak="0">
    <w:nsid w:val="16282484"/>
    <w:multiLevelType w:val="hybridMultilevel"/>
    <w:tmpl w:val="8D8E1EF0"/>
    <w:lvl w:ilvl="0" w:tplc="04090003">
      <w:start w:val="1"/>
      <w:numFmt w:val="bullet"/>
      <w:lvlText w:val="o"/>
      <w:lvlJc w:val="left"/>
      <w:pPr>
        <w:tabs>
          <w:tab w:val="num" w:pos="1656"/>
        </w:tabs>
        <w:ind w:left="1656" w:hanging="432"/>
      </w:pPr>
      <w:rPr>
        <w:rFonts w:ascii="Courier New" w:hAnsi="Courier New" w:cs="Courier New" w:hint="default"/>
      </w:rPr>
    </w:lvl>
    <w:lvl w:ilvl="1" w:tplc="FFFFFFFF" w:tentative="1">
      <w:start w:val="1"/>
      <w:numFmt w:val="bullet"/>
      <w:lvlText w:val="o"/>
      <w:lvlJc w:val="left"/>
      <w:pPr>
        <w:tabs>
          <w:tab w:val="num" w:pos="2304"/>
        </w:tabs>
        <w:ind w:left="2304" w:hanging="360"/>
      </w:pPr>
      <w:rPr>
        <w:rFonts w:ascii="Courier New" w:hAnsi="Courier New" w:cs="Courier New" w:hint="default"/>
      </w:rPr>
    </w:lvl>
    <w:lvl w:ilvl="2" w:tplc="FFFFFFFF" w:tentative="1">
      <w:start w:val="1"/>
      <w:numFmt w:val="bullet"/>
      <w:lvlText w:val=""/>
      <w:lvlJc w:val="left"/>
      <w:pPr>
        <w:tabs>
          <w:tab w:val="num" w:pos="3024"/>
        </w:tabs>
        <w:ind w:left="3024" w:hanging="360"/>
      </w:pPr>
      <w:rPr>
        <w:rFonts w:ascii="Wingdings" w:hAnsi="Wingdings" w:hint="default"/>
      </w:rPr>
    </w:lvl>
    <w:lvl w:ilvl="3" w:tplc="FFFFFFFF" w:tentative="1">
      <w:start w:val="1"/>
      <w:numFmt w:val="bullet"/>
      <w:lvlText w:val=""/>
      <w:lvlJc w:val="left"/>
      <w:pPr>
        <w:tabs>
          <w:tab w:val="num" w:pos="3744"/>
        </w:tabs>
        <w:ind w:left="3744" w:hanging="360"/>
      </w:pPr>
      <w:rPr>
        <w:rFonts w:ascii="Symbol" w:hAnsi="Symbol" w:hint="default"/>
      </w:rPr>
    </w:lvl>
    <w:lvl w:ilvl="4" w:tplc="FFFFFFFF" w:tentative="1">
      <w:start w:val="1"/>
      <w:numFmt w:val="bullet"/>
      <w:lvlText w:val="o"/>
      <w:lvlJc w:val="left"/>
      <w:pPr>
        <w:tabs>
          <w:tab w:val="num" w:pos="4464"/>
        </w:tabs>
        <w:ind w:left="4464" w:hanging="360"/>
      </w:pPr>
      <w:rPr>
        <w:rFonts w:ascii="Courier New" w:hAnsi="Courier New" w:cs="Courier New" w:hint="default"/>
      </w:rPr>
    </w:lvl>
    <w:lvl w:ilvl="5" w:tplc="FFFFFFFF" w:tentative="1">
      <w:start w:val="1"/>
      <w:numFmt w:val="bullet"/>
      <w:lvlText w:val=""/>
      <w:lvlJc w:val="left"/>
      <w:pPr>
        <w:tabs>
          <w:tab w:val="num" w:pos="5184"/>
        </w:tabs>
        <w:ind w:left="5184" w:hanging="360"/>
      </w:pPr>
      <w:rPr>
        <w:rFonts w:ascii="Wingdings" w:hAnsi="Wingdings" w:hint="default"/>
      </w:rPr>
    </w:lvl>
    <w:lvl w:ilvl="6" w:tplc="FFFFFFFF" w:tentative="1">
      <w:start w:val="1"/>
      <w:numFmt w:val="bullet"/>
      <w:lvlText w:val=""/>
      <w:lvlJc w:val="left"/>
      <w:pPr>
        <w:tabs>
          <w:tab w:val="num" w:pos="5904"/>
        </w:tabs>
        <w:ind w:left="5904" w:hanging="360"/>
      </w:pPr>
      <w:rPr>
        <w:rFonts w:ascii="Symbol" w:hAnsi="Symbol" w:hint="default"/>
      </w:rPr>
    </w:lvl>
    <w:lvl w:ilvl="7" w:tplc="FFFFFFFF" w:tentative="1">
      <w:start w:val="1"/>
      <w:numFmt w:val="bullet"/>
      <w:lvlText w:val="o"/>
      <w:lvlJc w:val="left"/>
      <w:pPr>
        <w:tabs>
          <w:tab w:val="num" w:pos="6624"/>
        </w:tabs>
        <w:ind w:left="6624" w:hanging="360"/>
      </w:pPr>
      <w:rPr>
        <w:rFonts w:ascii="Courier New" w:hAnsi="Courier New" w:cs="Courier New" w:hint="default"/>
      </w:rPr>
    </w:lvl>
    <w:lvl w:ilvl="8" w:tplc="FFFFFFFF"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187612B9"/>
    <w:multiLevelType w:val="hybridMultilevel"/>
    <w:tmpl w:val="C966C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821126"/>
    <w:multiLevelType w:val="hybridMultilevel"/>
    <w:tmpl w:val="17BCDF4E"/>
    <w:lvl w:ilvl="0" w:tplc="E3B66B5C">
      <w:start w:val="1"/>
      <w:numFmt w:val="lowerLetter"/>
      <w:pStyle w:val="ListNumber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721DA1"/>
    <w:multiLevelType w:val="hybridMultilevel"/>
    <w:tmpl w:val="BEEAB7CE"/>
    <w:lvl w:ilvl="0" w:tplc="E6529706">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090EC1"/>
    <w:multiLevelType w:val="hybridMultilevel"/>
    <w:tmpl w:val="BBA2A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6B70A3"/>
    <w:multiLevelType w:val="hybridMultilevel"/>
    <w:tmpl w:val="97180AFC"/>
    <w:lvl w:ilvl="0" w:tplc="5A48DF02">
      <w:start w:val="1"/>
      <w:numFmt w:val="bullet"/>
      <w:lvlText w:val=""/>
      <w:lvlJc w:val="left"/>
      <w:pPr>
        <w:ind w:left="1170" w:hanging="360"/>
      </w:pPr>
      <w:rPr>
        <w:rFonts w:ascii="Symbol" w:hAnsi="Symbol" w:hint="default"/>
      </w:rPr>
    </w:lvl>
    <w:lvl w:ilvl="1" w:tplc="C8F62326">
      <w:start w:val="1"/>
      <w:numFmt w:val="bullet"/>
      <w:lvlText w:val="o"/>
      <w:lvlJc w:val="left"/>
      <w:pPr>
        <w:ind w:left="1440" w:hanging="360"/>
      </w:pPr>
      <w:rPr>
        <w:rFonts w:ascii="Courier New" w:hAnsi="Courier New" w:hint="default"/>
      </w:rPr>
    </w:lvl>
    <w:lvl w:ilvl="2" w:tplc="AC8AB654">
      <w:start w:val="1"/>
      <w:numFmt w:val="bullet"/>
      <w:lvlText w:val=""/>
      <w:lvlJc w:val="left"/>
      <w:pPr>
        <w:ind w:left="2160" w:hanging="360"/>
      </w:pPr>
      <w:rPr>
        <w:rFonts w:ascii="Wingdings" w:hAnsi="Wingdings" w:hint="default"/>
      </w:rPr>
    </w:lvl>
    <w:lvl w:ilvl="3" w:tplc="32AC61EC">
      <w:start w:val="1"/>
      <w:numFmt w:val="bullet"/>
      <w:lvlText w:val=""/>
      <w:lvlJc w:val="left"/>
      <w:pPr>
        <w:ind w:left="2880" w:hanging="360"/>
      </w:pPr>
      <w:rPr>
        <w:rFonts w:ascii="Symbol" w:hAnsi="Symbol" w:hint="default"/>
      </w:rPr>
    </w:lvl>
    <w:lvl w:ilvl="4" w:tplc="346EB7A8">
      <w:start w:val="1"/>
      <w:numFmt w:val="bullet"/>
      <w:lvlText w:val="o"/>
      <w:lvlJc w:val="left"/>
      <w:pPr>
        <w:ind w:left="3600" w:hanging="360"/>
      </w:pPr>
      <w:rPr>
        <w:rFonts w:ascii="Courier New" w:hAnsi="Courier New" w:hint="default"/>
      </w:rPr>
    </w:lvl>
    <w:lvl w:ilvl="5" w:tplc="50BA72C6">
      <w:start w:val="1"/>
      <w:numFmt w:val="bullet"/>
      <w:lvlText w:val=""/>
      <w:lvlJc w:val="left"/>
      <w:pPr>
        <w:ind w:left="4320" w:hanging="360"/>
      </w:pPr>
      <w:rPr>
        <w:rFonts w:ascii="Wingdings" w:hAnsi="Wingdings" w:hint="default"/>
      </w:rPr>
    </w:lvl>
    <w:lvl w:ilvl="6" w:tplc="B3E8489A">
      <w:start w:val="1"/>
      <w:numFmt w:val="bullet"/>
      <w:lvlText w:val=""/>
      <w:lvlJc w:val="left"/>
      <w:pPr>
        <w:ind w:left="5040" w:hanging="360"/>
      </w:pPr>
      <w:rPr>
        <w:rFonts w:ascii="Symbol" w:hAnsi="Symbol" w:hint="default"/>
      </w:rPr>
    </w:lvl>
    <w:lvl w:ilvl="7" w:tplc="89366C5A">
      <w:start w:val="1"/>
      <w:numFmt w:val="bullet"/>
      <w:lvlText w:val="o"/>
      <w:lvlJc w:val="left"/>
      <w:pPr>
        <w:ind w:left="5760" w:hanging="360"/>
      </w:pPr>
      <w:rPr>
        <w:rFonts w:ascii="Courier New" w:hAnsi="Courier New" w:hint="default"/>
      </w:rPr>
    </w:lvl>
    <w:lvl w:ilvl="8" w:tplc="337C89A4">
      <w:start w:val="1"/>
      <w:numFmt w:val="bullet"/>
      <w:lvlText w:val=""/>
      <w:lvlJc w:val="left"/>
      <w:pPr>
        <w:ind w:left="6480" w:hanging="360"/>
      </w:pPr>
      <w:rPr>
        <w:rFonts w:ascii="Wingdings" w:hAnsi="Wingdings" w:hint="default"/>
      </w:rPr>
    </w:lvl>
  </w:abstractNum>
  <w:abstractNum w:abstractNumId="16" w15:restartNumberingAfterBreak="0">
    <w:nsid w:val="1E209C42"/>
    <w:multiLevelType w:val="hybridMultilevel"/>
    <w:tmpl w:val="576C5526"/>
    <w:lvl w:ilvl="0" w:tplc="EFD8C424">
      <w:start w:val="1"/>
      <w:numFmt w:val="bullet"/>
      <w:lvlText w:val=""/>
      <w:lvlJc w:val="left"/>
      <w:pPr>
        <w:ind w:left="360" w:hanging="360"/>
      </w:pPr>
      <w:rPr>
        <w:rFonts w:ascii="Symbol" w:hAnsi="Symbol" w:hint="default"/>
      </w:rPr>
    </w:lvl>
    <w:lvl w:ilvl="1" w:tplc="28EA1440">
      <w:start w:val="1"/>
      <w:numFmt w:val="bullet"/>
      <w:lvlText w:val="o"/>
      <w:lvlJc w:val="left"/>
      <w:pPr>
        <w:ind w:left="1440" w:hanging="360"/>
      </w:pPr>
      <w:rPr>
        <w:rFonts w:ascii="Courier New" w:hAnsi="Courier New" w:hint="default"/>
      </w:rPr>
    </w:lvl>
    <w:lvl w:ilvl="2" w:tplc="4CD4B14C">
      <w:start w:val="1"/>
      <w:numFmt w:val="bullet"/>
      <w:lvlText w:val=""/>
      <w:lvlJc w:val="left"/>
      <w:pPr>
        <w:ind w:left="2160" w:hanging="360"/>
      </w:pPr>
      <w:rPr>
        <w:rFonts w:ascii="Wingdings" w:hAnsi="Wingdings" w:hint="default"/>
      </w:rPr>
    </w:lvl>
    <w:lvl w:ilvl="3" w:tplc="48426724">
      <w:start w:val="1"/>
      <w:numFmt w:val="bullet"/>
      <w:lvlText w:val=""/>
      <w:lvlJc w:val="left"/>
      <w:pPr>
        <w:ind w:left="2880" w:hanging="360"/>
      </w:pPr>
      <w:rPr>
        <w:rFonts w:ascii="Symbol" w:hAnsi="Symbol" w:hint="default"/>
      </w:rPr>
    </w:lvl>
    <w:lvl w:ilvl="4" w:tplc="5304144A">
      <w:start w:val="1"/>
      <w:numFmt w:val="bullet"/>
      <w:lvlText w:val="o"/>
      <w:lvlJc w:val="left"/>
      <w:pPr>
        <w:ind w:left="3600" w:hanging="360"/>
      </w:pPr>
      <w:rPr>
        <w:rFonts w:ascii="Courier New" w:hAnsi="Courier New" w:hint="default"/>
      </w:rPr>
    </w:lvl>
    <w:lvl w:ilvl="5" w:tplc="B9A4466A">
      <w:start w:val="1"/>
      <w:numFmt w:val="bullet"/>
      <w:lvlText w:val=""/>
      <w:lvlJc w:val="left"/>
      <w:pPr>
        <w:ind w:left="4320" w:hanging="360"/>
      </w:pPr>
      <w:rPr>
        <w:rFonts w:ascii="Wingdings" w:hAnsi="Wingdings" w:hint="default"/>
      </w:rPr>
    </w:lvl>
    <w:lvl w:ilvl="6" w:tplc="A6CA1070">
      <w:start w:val="1"/>
      <w:numFmt w:val="bullet"/>
      <w:lvlText w:val=""/>
      <w:lvlJc w:val="left"/>
      <w:pPr>
        <w:ind w:left="5040" w:hanging="360"/>
      </w:pPr>
      <w:rPr>
        <w:rFonts w:ascii="Symbol" w:hAnsi="Symbol" w:hint="default"/>
      </w:rPr>
    </w:lvl>
    <w:lvl w:ilvl="7" w:tplc="1338A4A8">
      <w:start w:val="1"/>
      <w:numFmt w:val="bullet"/>
      <w:lvlText w:val="o"/>
      <w:lvlJc w:val="left"/>
      <w:pPr>
        <w:ind w:left="5760" w:hanging="360"/>
      </w:pPr>
      <w:rPr>
        <w:rFonts w:ascii="Courier New" w:hAnsi="Courier New" w:hint="default"/>
      </w:rPr>
    </w:lvl>
    <w:lvl w:ilvl="8" w:tplc="36A2545E">
      <w:start w:val="1"/>
      <w:numFmt w:val="bullet"/>
      <w:lvlText w:val=""/>
      <w:lvlJc w:val="left"/>
      <w:pPr>
        <w:ind w:left="6480" w:hanging="360"/>
      </w:pPr>
      <w:rPr>
        <w:rFonts w:ascii="Wingdings" w:hAnsi="Wingdings" w:hint="default"/>
      </w:rPr>
    </w:lvl>
  </w:abstractNum>
  <w:abstractNum w:abstractNumId="17" w15:restartNumberingAfterBreak="0">
    <w:nsid w:val="1E637148"/>
    <w:multiLevelType w:val="hybridMultilevel"/>
    <w:tmpl w:val="6D5A6D8A"/>
    <w:lvl w:ilvl="0" w:tplc="C04A4EAA">
      <w:start w:val="1"/>
      <w:numFmt w:val="bullet"/>
      <w:pStyle w:val="ListBullet2"/>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EE31674"/>
    <w:multiLevelType w:val="hybridMultilevel"/>
    <w:tmpl w:val="4816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C2080A"/>
    <w:multiLevelType w:val="hybridMultilevel"/>
    <w:tmpl w:val="383A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065109"/>
    <w:multiLevelType w:val="multilevel"/>
    <w:tmpl w:val="2ECCC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517CA47"/>
    <w:multiLevelType w:val="hybridMultilevel"/>
    <w:tmpl w:val="BD6C722E"/>
    <w:lvl w:ilvl="0" w:tplc="D8EECBAA">
      <w:start w:val="1"/>
      <w:numFmt w:val="bullet"/>
      <w:lvlText w:val=""/>
      <w:lvlJc w:val="left"/>
      <w:pPr>
        <w:ind w:left="720" w:hanging="360"/>
      </w:pPr>
      <w:rPr>
        <w:rFonts w:ascii="Symbol" w:hAnsi="Symbol" w:hint="default"/>
      </w:rPr>
    </w:lvl>
    <w:lvl w:ilvl="1" w:tplc="B09A770C">
      <w:start w:val="1"/>
      <w:numFmt w:val="bullet"/>
      <w:lvlText w:val="o"/>
      <w:lvlJc w:val="left"/>
      <w:pPr>
        <w:ind w:left="1440" w:hanging="360"/>
      </w:pPr>
      <w:rPr>
        <w:rFonts w:ascii="Courier New" w:hAnsi="Courier New" w:hint="default"/>
      </w:rPr>
    </w:lvl>
    <w:lvl w:ilvl="2" w:tplc="9C969828">
      <w:start w:val="1"/>
      <w:numFmt w:val="bullet"/>
      <w:lvlText w:val=""/>
      <w:lvlJc w:val="left"/>
      <w:pPr>
        <w:ind w:left="2160" w:hanging="360"/>
      </w:pPr>
      <w:rPr>
        <w:rFonts w:ascii="Wingdings" w:hAnsi="Wingdings" w:hint="default"/>
      </w:rPr>
    </w:lvl>
    <w:lvl w:ilvl="3" w:tplc="E3D63722">
      <w:start w:val="1"/>
      <w:numFmt w:val="bullet"/>
      <w:lvlText w:val=""/>
      <w:lvlJc w:val="left"/>
      <w:pPr>
        <w:ind w:left="2880" w:hanging="360"/>
      </w:pPr>
      <w:rPr>
        <w:rFonts w:ascii="Symbol" w:hAnsi="Symbol" w:hint="default"/>
      </w:rPr>
    </w:lvl>
    <w:lvl w:ilvl="4" w:tplc="69B25D1E">
      <w:start w:val="1"/>
      <w:numFmt w:val="bullet"/>
      <w:lvlText w:val="o"/>
      <w:lvlJc w:val="left"/>
      <w:pPr>
        <w:ind w:left="3600" w:hanging="360"/>
      </w:pPr>
      <w:rPr>
        <w:rFonts w:ascii="Courier New" w:hAnsi="Courier New" w:hint="default"/>
      </w:rPr>
    </w:lvl>
    <w:lvl w:ilvl="5" w:tplc="CB7CFCE6">
      <w:start w:val="1"/>
      <w:numFmt w:val="bullet"/>
      <w:lvlText w:val=""/>
      <w:lvlJc w:val="left"/>
      <w:pPr>
        <w:ind w:left="4320" w:hanging="360"/>
      </w:pPr>
      <w:rPr>
        <w:rFonts w:ascii="Wingdings" w:hAnsi="Wingdings" w:hint="default"/>
      </w:rPr>
    </w:lvl>
    <w:lvl w:ilvl="6" w:tplc="C856033E">
      <w:start w:val="1"/>
      <w:numFmt w:val="bullet"/>
      <w:lvlText w:val=""/>
      <w:lvlJc w:val="left"/>
      <w:pPr>
        <w:ind w:left="5040" w:hanging="360"/>
      </w:pPr>
      <w:rPr>
        <w:rFonts w:ascii="Symbol" w:hAnsi="Symbol" w:hint="default"/>
      </w:rPr>
    </w:lvl>
    <w:lvl w:ilvl="7" w:tplc="ACF81E56">
      <w:start w:val="1"/>
      <w:numFmt w:val="bullet"/>
      <w:lvlText w:val="o"/>
      <w:lvlJc w:val="left"/>
      <w:pPr>
        <w:ind w:left="5760" w:hanging="360"/>
      </w:pPr>
      <w:rPr>
        <w:rFonts w:ascii="Courier New" w:hAnsi="Courier New" w:hint="default"/>
      </w:rPr>
    </w:lvl>
    <w:lvl w:ilvl="8" w:tplc="3F122786">
      <w:start w:val="1"/>
      <w:numFmt w:val="bullet"/>
      <w:lvlText w:val=""/>
      <w:lvlJc w:val="left"/>
      <w:pPr>
        <w:ind w:left="6480" w:hanging="360"/>
      </w:pPr>
      <w:rPr>
        <w:rFonts w:ascii="Wingdings" w:hAnsi="Wingdings" w:hint="default"/>
      </w:rPr>
    </w:lvl>
  </w:abstractNum>
  <w:abstractNum w:abstractNumId="22" w15:restartNumberingAfterBreak="0">
    <w:nsid w:val="28946330"/>
    <w:multiLevelType w:val="hybridMultilevel"/>
    <w:tmpl w:val="17568EE2"/>
    <w:lvl w:ilvl="0" w:tplc="379E2670">
      <w:start w:val="1"/>
      <w:numFmt w:val="lowerRoman"/>
      <w:pStyle w:val="ListNumber3"/>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9863E0C"/>
    <w:multiLevelType w:val="hybridMultilevel"/>
    <w:tmpl w:val="07C0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FBDD03"/>
    <w:multiLevelType w:val="hybridMultilevel"/>
    <w:tmpl w:val="4FCCD604"/>
    <w:lvl w:ilvl="0" w:tplc="EB5825B0">
      <w:start w:val="1"/>
      <w:numFmt w:val="bullet"/>
      <w:lvlText w:val=""/>
      <w:lvlJc w:val="left"/>
      <w:pPr>
        <w:ind w:left="360" w:hanging="360"/>
      </w:pPr>
      <w:rPr>
        <w:rFonts w:ascii="Symbol" w:hAnsi="Symbol" w:hint="default"/>
      </w:rPr>
    </w:lvl>
    <w:lvl w:ilvl="1" w:tplc="2CB80890">
      <w:start w:val="1"/>
      <w:numFmt w:val="bullet"/>
      <w:lvlText w:val="o"/>
      <w:lvlJc w:val="left"/>
      <w:pPr>
        <w:ind w:left="1080" w:hanging="360"/>
      </w:pPr>
      <w:rPr>
        <w:rFonts w:ascii="Symbol" w:hAnsi="Symbol" w:hint="default"/>
      </w:rPr>
    </w:lvl>
    <w:lvl w:ilvl="2" w:tplc="E1B0D44A">
      <w:start w:val="1"/>
      <w:numFmt w:val="bullet"/>
      <w:lvlText w:val=""/>
      <w:lvlJc w:val="left"/>
      <w:pPr>
        <w:ind w:left="2160" w:hanging="360"/>
      </w:pPr>
      <w:rPr>
        <w:rFonts w:ascii="Wingdings" w:hAnsi="Wingdings" w:hint="default"/>
      </w:rPr>
    </w:lvl>
    <w:lvl w:ilvl="3" w:tplc="C0CC036A">
      <w:start w:val="1"/>
      <w:numFmt w:val="bullet"/>
      <w:lvlText w:val=""/>
      <w:lvlJc w:val="left"/>
      <w:pPr>
        <w:ind w:left="2880" w:hanging="360"/>
      </w:pPr>
      <w:rPr>
        <w:rFonts w:ascii="Symbol" w:hAnsi="Symbol" w:hint="default"/>
      </w:rPr>
    </w:lvl>
    <w:lvl w:ilvl="4" w:tplc="745ECFC0">
      <w:start w:val="1"/>
      <w:numFmt w:val="bullet"/>
      <w:lvlText w:val="o"/>
      <w:lvlJc w:val="left"/>
      <w:pPr>
        <w:ind w:left="3600" w:hanging="360"/>
      </w:pPr>
      <w:rPr>
        <w:rFonts w:ascii="Courier New" w:hAnsi="Courier New" w:hint="default"/>
      </w:rPr>
    </w:lvl>
    <w:lvl w:ilvl="5" w:tplc="8D30E4B8">
      <w:start w:val="1"/>
      <w:numFmt w:val="bullet"/>
      <w:lvlText w:val=""/>
      <w:lvlJc w:val="left"/>
      <w:pPr>
        <w:ind w:left="4320" w:hanging="360"/>
      </w:pPr>
      <w:rPr>
        <w:rFonts w:ascii="Wingdings" w:hAnsi="Wingdings" w:hint="default"/>
      </w:rPr>
    </w:lvl>
    <w:lvl w:ilvl="6" w:tplc="017E8EF2">
      <w:start w:val="1"/>
      <w:numFmt w:val="bullet"/>
      <w:lvlText w:val=""/>
      <w:lvlJc w:val="left"/>
      <w:pPr>
        <w:ind w:left="5040" w:hanging="360"/>
      </w:pPr>
      <w:rPr>
        <w:rFonts w:ascii="Symbol" w:hAnsi="Symbol" w:hint="default"/>
      </w:rPr>
    </w:lvl>
    <w:lvl w:ilvl="7" w:tplc="5094C1A8">
      <w:start w:val="1"/>
      <w:numFmt w:val="bullet"/>
      <w:lvlText w:val="o"/>
      <w:lvlJc w:val="left"/>
      <w:pPr>
        <w:ind w:left="5760" w:hanging="360"/>
      </w:pPr>
      <w:rPr>
        <w:rFonts w:ascii="Courier New" w:hAnsi="Courier New" w:hint="default"/>
      </w:rPr>
    </w:lvl>
    <w:lvl w:ilvl="8" w:tplc="EC18038E">
      <w:start w:val="1"/>
      <w:numFmt w:val="bullet"/>
      <w:lvlText w:val=""/>
      <w:lvlJc w:val="left"/>
      <w:pPr>
        <w:ind w:left="6480" w:hanging="360"/>
      </w:pPr>
      <w:rPr>
        <w:rFonts w:ascii="Wingdings" w:hAnsi="Wingdings" w:hint="default"/>
      </w:rPr>
    </w:lvl>
  </w:abstractNum>
  <w:abstractNum w:abstractNumId="25" w15:restartNumberingAfterBreak="0">
    <w:nsid w:val="2EDE3628"/>
    <w:multiLevelType w:val="hybridMultilevel"/>
    <w:tmpl w:val="95740C34"/>
    <w:lvl w:ilvl="0" w:tplc="04090001">
      <w:start w:val="1"/>
      <w:numFmt w:val="bullet"/>
      <w:lvlText w:val=""/>
      <w:lvlJc w:val="left"/>
      <w:pPr>
        <w:ind w:left="1250" w:hanging="360"/>
      </w:pPr>
      <w:rPr>
        <w:rFonts w:ascii="Symbol" w:hAnsi="Symbol" w:hint="default"/>
      </w:rPr>
    </w:lvl>
    <w:lvl w:ilvl="1" w:tplc="04090003" w:tentative="1">
      <w:start w:val="1"/>
      <w:numFmt w:val="bullet"/>
      <w:lvlText w:val="o"/>
      <w:lvlJc w:val="left"/>
      <w:pPr>
        <w:ind w:left="1970" w:hanging="360"/>
      </w:pPr>
      <w:rPr>
        <w:rFonts w:ascii="Courier New" w:hAnsi="Courier New" w:cs="Courier New" w:hint="default"/>
      </w:rPr>
    </w:lvl>
    <w:lvl w:ilvl="2" w:tplc="04090005" w:tentative="1">
      <w:start w:val="1"/>
      <w:numFmt w:val="bullet"/>
      <w:lvlText w:val=""/>
      <w:lvlJc w:val="left"/>
      <w:pPr>
        <w:ind w:left="2690" w:hanging="360"/>
      </w:pPr>
      <w:rPr>
        <w:rFonts w:ascii="Wingdings" w:hAnsi="Wingdings" w:hint="default"/>
      </w:rPr>
    </w:lvl>
    <w:lvl w:ilvl="3" w:tplc="04090001" w:tentative="1">
      <w:start w:val="1"/>
      <w:numFmt w:val="bullet"/>
      <w:lvlText w:val=""/>
      <w:lvlJc w:val="left"/>
      <w:pPr>
        <w:ind w:left="3410" w:hanging="360"/>
      </w:pPr>
      <w:rPr>
        <w:rFonts w:ascii="Symbol" w:hAnsi="Symbol" w:hint="default"/>
      </w:rPr>
    </w:lvl>
    <w:lvl w:ilvl="4" w:tplc="04090003" w:tentative="1">
      <w:start w:val="1"/>
      <w:numFmt w:val="bullet"/>
      <w:lvlText w:val="o"/>
      <w:lvlJc w:val="left"/>
      <w:pPr>
        <w:ind w:left="4130" w:hanging="360"/>
      </w:pPr>
      <w:rPr>
        <w:rFonts w:ascii="Courier New" w:hAnsi="Courier New" w:cs="Courier New" w:hint="default"/>
      </w:rPr>
    </w:lvl>
    <w:lvl w:ilvl="5" w:tplc="04090005" w:tentative="1">
      <w:start w:val="1"/>
      <w:numFmt w:val="bullet"/>
      <w:lvlText w:val=""/>
      <w:lvlJc w:val="left"/>
      <w:pPr>
        <w:ind w:left="4850" w:hanging="360"/>
      </w:pPr>
      <w:rPr>
        <w:rFonts w:ascii="Wingdings" w:hAnsi="Wingdings" w:hint="default"/>
      </w:rPr>
    </w:lvl>
    <w:lvl w:ilvl="6" w:tplc="04090001" w:tentative="1">
      <w:start w:val="1"/>
      <w:numFmt w:val="bullet"/>
      <w:lvlText w:val=""/>
      <w:lvlJc w:val="left"/>
      <w:pPr>
        <w:ind w:left="5570" w:hanging="360"/>
      </w:pPr>
      <w:rPr>
        <w:rFonts w:ascii="Symbol" w:hAnsi="Symbol" w:hint="default"/>
      </w:rPr>
    </w:lvl>
    <w:lvl w:ilvl="7" w:tplc="04090003" w:tentative="1">
      <w:start w:val="1"/>
      <w:numFmt w:val="bullet"/>
      <w:lvlText w:val="o"/>
      <w:lvlJc w:val="left"/>
      <w:pPr>
        <w:ind w:left="6290" w:hanging="360"/>
      </w:pPr>
      <w:rPr>
        <w:rFonts w:ascii="Courier New" w:hAnsi="Courier New" w:cs="Courier New" w:hint="default"/>
      </w:rPr>
    </w:lvl>
    <w:lvl w:ilvl="8" w:tplc="04090005" w:tentative="1">
      <w:start w:val="1"/>
      <w:numFmt w:val="bullet"/>
      <w:lvlText w:val=""/>
      <w:lvlJc w:val="left"/>
      <w:pPr>
        <w:ind w:left="7010" w:hanging="360"/>
      </w:pPr>
      <w:rPr>
        <w:rFonts w:ascii="Wingdings" w:hAnsi="Wingdings" w:hint="default"/>
      </w:rPr>
    </w:lvl>
  </w:abstractNum>
  <w:abstractNum w:abstractNumId="26" w15:restartNumberingAfterBreak="0">
    <w:nsid w:val="2FFE6405"/>
    <w:multiLevelType w:val="hybridMultilevel"/>
    <w:tmpl w:val="6A6E739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32291A78"/>
    <w:multiLevelType w:val="hybridMultilevel"/>
    <w:tmpl w:val="48368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FF6216"/>
    <w:multiLevelType w:val="hybridMultilevel"/>
    <w:tmpl w:val="5DE23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A35ADF"/>
    <w:multiLevelType w:val="hybridMultilevel"/>
    <w:tmpl w:val="E98066B8"/>
    <w:lvl w:ilvl="0" w:tplc="04090003">
      <w:start w:val="1"/>
      <w:numFmt w:val="bullet"/>
      <w:lvlText w:val="o"/>
      <w:lvlJc w:val="left"/>
      <w:pPr>
        <w:tabs>
          <w:tab w:val="num" w:pos="1584"/>
        </w:tabs>
        <w:ind w:left="1584" w:hanging="432"/>
      </w:pPr>
      <w:rPr>
        <w:rFonts w:ascii="Courier New" w:hAnsi="Courier New" w:cs="Courier New" w:hint="default"/>
      </w:rPr>
    </w:lvl>
    <w:lvl w:ilvl="1" w:tplc="FFFFFFFF" w:tentative="1">
      <w:start w:val="1"/>
      <w:numFmt w:val="bullet"/>
      <w:lvlText w:val="o"/>
      <w:lvlJc w:val="left"/>
      <w:pPr>
        <w:tabs>
          <w:tab w:val="num" w:pos="2232"/>
        </w:tabs>
        <w:ind w:left="2232" w:hanging="360"/>
      </w:pPr>
      <w:rPr>
        <w:rFonts w:ascii="Courier New" w:hAnsi="Courier New" w:cs="Courier New" w:hint="default"/>
      </w:rPr>
    </w:lvl>
    <w:lvl w:ilvl="2" w:tplc="FFFFFFFF" w:tentative="1">
      <w:start w:val="1"/>
      <w:numFmt w:val="bullet"/>
      <w:lvlText w:val=""/>
      <w:lvlJc w:val="left"/>
      <w:pPr>
        <w:tabs>
          <w:tab w:val="num" w:pos="2952"/>
        </w:tabs>
        <w:ind w:left="2952" w:hanging="360"/>
      </w:pPr>
      <w:rPr>
        <w:rFonts w:ascii="Wingdings" w:hAnsi="Wingdings" w:hint="default"/>
      </w:rPr>
    </w:lvl>
    <w:lvl w:ilvl="3" w:tplc="FFFFFFFF" w:tentative="1">
      <w:start w:val="1"/>
      <w:numFmt w:val="bullet"/>
      <w:lvlText w:val=""/>
      <w:lvlJc w:val="left"/>
      <w:pPr>
        <w:tabs>
          <w:tab w:val="num" w:pos="3672"/>
        </w:tabs>
        <w:ind w:left="3672" w:hanging="360"/>
      </w:pPr>
      <w:rPr>
        <w:rFonts w:ascii="Symbol" w:hAnsi="Symbol" w:hint="default"/>
      </w:rPr>
    </w:lvl>
    <w:lvl w:ilvl="4" w:tplc="FFFFFFFF" w:tentative="1">
      <w:start w:val="1"/>
      <w:numFmt w:val="bullet"/>
      <w:lvlText w:val="o"/>
      <w:lvlJc w:val="left"/>
      <w:pPr>
        <w:tabs>
          <w:tab w:val="num" w:pos="4392"/>
        </w:tabs>
        <w:ind w:left="4392" w:hanging="360"/>
      </w:pPr>
      <w:rPr>
        <w:rFonts w:ascii="Courier New" w:hAnsi="Courier New" w:cs="Courier New" w:hint="default"/>
      </w:rPr>
    </w:lvl>
    <w:lvl w:ilvl="5" w:tplc="FFFFFFFF" w:tentative="1">
      <w:start w:val="1"/>
      <w:numFmt w:val="bullet"/>
      <w:lvlText w:val=""/>
      <w:lvlJc w:val="left"/>
      <w:pPr>
        <w:tabs>
          <w:tab w:val="num" w:pos="5112"/>
        </w:tabs>
        <w:ind w:left="5112" w:hanging="360"/>
      </w:pPr>
      <w:rPr>
        <w:rFonts w:ascii="Wingdings" w:hAnsi="Wingdings" w:hint="default"/>
      </w:rPr>
    </w:lvl>
    <w:lvl w:ilvl="6" w:tplc="FFFFFFFF" w:tentative="1">
      <w:start w:val="1"/>
      <w:numFmt w:val="bullet"/>
      <w:lvlText w:val=""/>
      <w:lvlJc w:val="left"/>
      <w:pPr>
        <w:tabs>
          <w:tab w:val="num" w:pos="5832"/>
        </w:tabs>
        <w:ind w:left="5832" w:hanging="360"/>
      </w:pPr>
      <w:rPr>
        <w:rFonts w:ascii="Symbol" w:hAnsi="Symbol" w:hint="default"/>
      </w:rPr>
    </w:lvl>
    <w:lvl w:ilvl="7" w:tplc="FFFFFFFF" w:tentative="1">
      <w:start w:val="1"/>
      <w:numFmt w:val="bullet"/>
      <w:lvlText w:val="o"/>
      <w:lvlJc w:val="left"/>
      <w:pPr>
        <w:tabs>
          <w:tab w:val="num" w:pos="6552"/>
        </w:tabs>
        <w:ind w:left="6552" w:hanging="360"/>
      </w:pPr>
      <w:rPr>
        <w:rFonts w:ascii="Courier New" w:hAnsi="Courier New" w:cs="Courier New" w:hint="default"/>
      </w:rPr>
    </w:lvl>
    <w:lvl w:ilvl="8" w:tplc="FFFFFFFF" w:tentative="1">
      <w:start w:val="1"/>
      <w:numFmt w:val="bullet"/>
      <w:lvlText w:val=""/>
      <w:lvlJc w:val="left"/>
      <w:pPr>
        <w:tabs>
          <w:tab w:val="num" w:pos="7272"/>
        </w:tabs>
        <w:ind w:left="7272" w:hanging="360"/>
      </w:pPr>
      <w:rPr>
        <w:rFonts w:ascii="Wingdings" w:hAnsi="Wingdings" w:hint="default"/>
      </w:rPr>
    </w:lvl>
  </w:abstractNum>
  <w:abstractNum w:abstractNumId="30" w15:restartNumberingAfterBreak="0">
    <w:nsid w:val="38251D0C"/>
    <w:multiLevelType w:val="hybridMultilevel"/>
    <w:tmpl w:val="52CCDA84"/>
    <w:lvl w:ilvl="0" w:tplc="A9583836">
      <w:start w:val="1"/>
      <w:numFmt w:val="bullet"/>
      <w:lvlText w:val=""/>
      <w:lvlJc w:val="left"/>
      <w:pPr>
        <w:ind w:left="720" w:hanging="360"/>
      </w:pPr>
      <w:rPr>
        <w:rFonts w:ascii="Symbol" w:hAnsi="Symbol" w:hint="default"/>
      </w:rPr>
    </w:lvl>
    <w:lvl w:ilvl="1" w:tplc="E5709196">
      <w:start w:val="1"/>
      <w:numFmt w:val="bullet"/>
      <w:lvlText w:val="o"/>
      <w:lvlJc w:val="left"/>
      <w:pPr>
        <w:ind w:left="1440" w:hanging="360"/>
      </w:pPr>
      <w:rPr>
        <w:rFonts w:ascii="Courier New" w:hAnsi="Courier New" w:hint="default"/>
      </w:rPr>
    </w:lvl>
    <w:lvl w:ilvl="2" w:tplc="AFAE1666">
      <w:start w:val="1"/>
      <w:numFmt w:val="bullet"/>
      <w:lvlText w:val=""/>
      <w:lvlJc w:val="left"/>
      <w:pPr>
        <w:ind w:left="2160" w:hanging="360"/>
      </w:pPr>
      <w:rPr>
        <w:rFonts w:ascii="Wingdings" w:hAnsi="Wingdings" w:hint="default"/>
      </w:rPr>
    </w:lvl>
    <w:lvl w:ilvl="3" w:tplc="B87AD352">
      <w:start w:val="1"/>
      <w:numFmt w:val="bullet"/>
      <w:lvlText w:val=""/>
      <w:lvlJc w:val="left"/>
      <w:pPr>
        <w:ind w:left="2880" w:hanging="360"/>
      </w:pPr>
      <w:rPr>
        <w:rFonts w:ascii="Symbol" w:hAnsi="Symbol" w:hint="default"/>
      </w:rPr>
    </w:lvl>
    <w:lvl w:ilvl="4" w:tplc="9F620BAE">
      <w:start w:val="1"/>
      <w:numFmt w:val="bullet"/>
      <w:lvlText w:val="o"/>
      <w:lvlJc w:val="left"/>
      <w:pPr>
        <w:ind w:left="3600" w:hanging="360"/>
      </w:pPr>
      <w:rPr>
        <w:rFonts w:ascii="Courier New" w:hAnsi="Courier New" w:hint="default"/>
      </w:rPr>
    </w:lvl>
    <w:lvl w:ilvl="5" w:tplc="63F8A274">
      <w:start w:val="1"/>
      <w:numFmt w:val="bullet"/>
      <w:lvlText w:val=""/>
      <w:lvlJc w:val="left"/>
      <w:pPr>
        <w:ind w:left="4320" w:hanging="360"/>
      </w:pPr>
      <w:rPr>
        <w:rFonts w:ascii="Wingdings" w:hAnsi="Wingdings" w:hint="default"/>
      </w:rPr>
    </w:lvl>
    <w:lvl w:ilvl="6" w:tplc="A3D49A68">
      <w:start w:val="1"/>
      <w:numFmt w:val="bullet"/>
      <w:lvlText w:val=""/>
      <w:lvlJc w:val="left"/>
      <w:pPr>
        <w:ind w:left="5040" w:hanging="360"/>
      </w:pPr>
      <w:rPr>
        <w:rFonts w:ascii="Symbol" w:hAnsi="Symbol" w:hint="default"/>
      </w:rPr>
    </w:lvl>
    <w:lvl w:ilvl="7" w:tplc="00F8A68E">
      <w:start w:val="1"/>
      <w:numFmt w:val="bullet"/>
      <w:lvlText w:val="o"/>
      <w:lvlJc w:val="left"/>
      <w:pPr>
        <w:ind w:left="5760" w:hanging="360"/>
      </w:pPr>
      <w:rPr>
        <w:rFonts w:ascii="Courier New" w:hAnsi="Courier New" w:hint="default"/>
      </w:rPr>
    </w:lvl>
    <w:lvl w:ilvl="8" w:tplc="248C5264">
      <w:start w:val="1"/>
      <w:numFmt w:val="bullet"/>
      <w:lvlText w:val=""/>
      <w:lvlJc w:val="left"/>
      <w:pPr>
        <w:ind w:left="6480" w:hanging="360"/>
      </w:pPr>
      <w:rPr>
        <w:rFonts w:ascii="Wingdings" w:hAnsi="Wingdings" w:hint="default"/>
      </w:rPr>
    </w:lvl>
  </w:abstractNum>
  <w:abstractNum w:abstractNumId="31" w15:restartNumberingAfterBreak="0">
    <w:nsid w:val="394416DE"/>
    <w:multiLevelType w:val="hybridMultilevel"/>
    <w:tmpl w:val="4CC6E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831D19"/>
    <w:multiLevelType w:val="hybridMultilevel"/>
    <w:tmpl w:val="0ADC18C2"/>
    <w:lvl w:ilvl="0" w:tplc="1D3E25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835074"/>
    <w:multiLevelType w:val="hybridMultilevel"/>
    <w:tmpl w:val="D5189AB2"/>
    <w:lvl w:ilvl="0" w:tplc="2CB81CA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8D41EC"/>
    <w:multiLevelType w:val="hybridMultilevel"/>
    <w:tmpl w:val="84449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BE55E7"/>
    <w:multiLevelType w:val="hybridMultilevel"/>
    <w:tmpl w:val="995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6C6B66"/>
    <w:multiLevelType w:val="hybridMultilevel"/>
    <w:tmpl w:val="72769E50"/>
    <w:lvl w:ilvl="0" w:tplc="7532A1D0">
      <w:start w:val="1"/>
      <w:numFmt w:val="bullet"/>
      <w:lvlText w:val="-"/>
      <w:lvlJc w:val="left"/>
      <w:pPr>
        <w:ind w:left="420" w:hanging="360"/>
      </w:pPr>
      <w:rPr>
        <w:rFonts w:ascii="Calibri" w:eastAsia="Calibri" w:hAnsi="Calibri" w:cs="Times New Roman" w:hint="default"/>
      </w:rPr>
    </w:lvl>
    <w:lvl w:ilvl="1" w:tplc="7532A1D0">
      <w:start w:val="1"/>
      <w:numFmt w:val="bullet"/>
      <w:lvlText w:val="-"/>
      <w:lvlJc w:val="left"/>
      <w:pPr>
        <w:ind w:left="1140" w:hanging="360"/>
      </w:pPr>
      <w:rPr>
        <w:rFonts w:ascii="Calibri" w:eastAsia="Calibri" w:hAnsi="Calibri" w:cs="Times New Roman" w:hint="default"/>
      </w:rPr>
    </w:lvl>
    <w:lvl w:ilvl="2" w:tplc="04090005">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7" w15:restartNumberingAfterBreak="0">
    <w:nsid w:val="3F956B81"/>
    <w:multiLevelType w:val="hybridMultilevel"/>
    <w:tmpl w:val="0F6C1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AB0719"/>
    <w:multiLevelType w:val="hybridMultilevel"/>
    <w:tmpl w:val="DCB0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B68246"/>
    <w:multiLevelType w:val="hybridMultilevel"/>
    <w:tmpl w:val="F5B02A5E"/>
    <w:lvl w:ilvl="0" w:tplc="3502EA54">
      <w:start w:val="1"/>
      <w:numFmt w:val="bullet"/>
      <w:lvlText w:val=""/>
      <w:lvlJc w:val="left"/>
      <w:pPr>
        <w:ind w:left="720" w:hanging="360"/>
      </w:pPr>
      <w:rPr>
        <w:rFonts w:ascii="Symbol" w:hAnsi="Symbol" w:hint="default"/>
      </w:rPr>
    </w:lvl>
    <w:lvl w:ilvl="1" w:tplc="612A26CA">
      <w:start w:val="1"/>
      <w:numFmt w:val="bullet"/>
      <w:lvlText w:val="o"/>
      <w:lvlJc w:val="left"/>
      <w:pPr>
        <w:ind w:left="1440" w:hanging="360"/>
      </w:pPr>
      <w:rPr>
        <w:rFonts w:ascii="Courier New" w:hAnsi="Courier New" w:hint="default"/>
      </w:rPr>
    </w:lvl>
    <w:lvl w:ilvl="2" w:tplc="6996232C">
      <w:start w:val="1"/>
      <w:numFmt w:val="bullet"/>
      <w:lvlText w:val=""/>
      <w:lvlJc w:val="left"/>
      <w:pPr>
        <w:ind w:left="2160" w:hanging="360"/>
      </w:pPr>
      <w:rPr>
        <w:rFonts w:ascii="Wingdings" w:hAnsi="Wingdings" w:hint="default"/>
      </w:rPr>
    </w:lvl>
    <w:lvl w:ilvl="3" w:tplc="C86EB738">
      <w:start w:val="1"/>
      <w:numFmt w:val="bullet"/>
      <w:lvlText w:val=""/>
      <w:lvlJc w:val="left"/>
      <w:pPr>
        <w:ind w:left="2880" w:hanging="360"/>
      </w:pPr>
      <w:rPr>
        <w:rFonts w:ascii="Symbol" w:hAnsi="Symbol" w:hint="default"/>
      </w:rPr>
    </w:lvl>
    <w:lvl w:ilvl="4" w:tplc="7A2419A2">
      <w:start w:val="1"/>
      <w:numFmt w:val="bullet"/>
      <w:lvlText w:val="o"/>
      <w:lvlJc w:val="left"/>
      <w:pPr>
        <w:ind w:left="3600" w:hanging="360"/>
      </w:pPr>
      <w:rPr>
        <w:rFonts w:ascii="Courier New" w:hAnsi="Courier New" w:hint="default"/>
      </w:rPr>
    </w:lvl>
    <w:lvl w:ilvl="5" w:tplc="D5C8D69C">
      <w:start w:val="1"/>
      <w:numFmt w:val="bullet"/>
      <w:lvlText w:val=""/>
      <w:lvlJc w:val="left"/>
      <w:pPr>
        <w:ind w:left="4320" w:hanging="360"/>
      </w:pPr>
      <w:rPr>
        <w:rFonts w:ascii="Wingdings" w:hAnsi="Wingdings" w:hint="default"/>
      </w:rPr>
    </w:lvl>
    <w:lvl w:ilvl="6" w:tplc="B8B445E8">
      <w:start w:val="1"/>
      <w:numFmt w:val="bullet"/>
      <w:lvlText w:val=""/>
      <w:lvlJc w:val="left"/>
      <w:pPr>
        <w:ind w:left="5040" w:hanging="360"/>
      </w:pPr>
      <w:rPr>
        <w:rFonts w:ascii="Symbol" w:hAnsi="Symbol" w:hint="default"/>
      </w:rPr>
    </w:lvl>
    <w:lvl w:ilvl="7" w:tplc="5854E3B4">
      <w:start w:val="1"/>
      <w:numFmt w:val="bullet"/>
      <w:lvlText w:val="o"/>
      <w:lvlJc w:val="left"/>
      <w:pPr>
        <w:ind w:left="5760" w:hanging="360"/>
      </w:pPr>
      <w:rPr>
        <w:rFonts w:ascii="Courier New" w:hAnsi="Courier New" w:hint="default"/>
      </w:rPr>
    </w:lvl>
    <w:lvl w:ilvl="8" w:tplc="29BA081E">
      <w:start w:val="1"/>
      <w:numFmt w:val="bullet"/>
      <w:lvlText w:val=""/>
      <w:lvlJc w:val="left"/>
      <w:pPr>
        <w:ind w:left="6480" w:hanging="360"/>
      </w:pPr>
      <w:rPr>
        <w:rFonts w:ascii="Wingdings" w:hAnsi="Wingdings" w:hint="default"/>
      </w:rPr>
    </w:lvl>
  </w:abstractNum>
  <w:abstractNum w:abstractNumId="40" w15:restartNumberingAfterBreak="0">
    <w:nsid w:val="433C1D58"/>
    <w:multiLevelType w:val="hybridMultilevel"/>
    <w:tmpl w:val="C444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BA95784"/>
    <w:multiLevelType w:val="hybridMultilevel"/>
    <w:tmpl w:val="C002C270"/>
    <w:lvl w:ilvl="0" w:tplc="04090017">
      <w:start w:val="1"/>
      <w:numFmt w:val="lowerLetter"/>
      <w:lvlText w:val="%1)"/>
      <w:lvlJc w:val="left"/>
      <w:pPr>
        <w:ind w:left="1800" w:hanging="360"/>
      </w:pPr>
    </w:lvl>
    <w:lvl w:ilvl="1" w:tplc="04090019">
      <w:start w:val="1"/>
      <w:numFmt w:val="lowerLetter"/>
      <w:lvlText w:val="%2."/>
      <w:lvlJc w:val="left"/>
      <w:pPr>
        <w:ind w:left="1350" w:hanging="360"/>
      </w:pPr>
    </w:lvl>
    <w:lvl w:ilvl="2" w:tplc="04090019">
      <w:start w:val="1"/>
      <w:numFmt w:val="lowerLetter"/>
      <w:lvlText w:val="%3."/>
      <w:lvlJc w:val="left"/>
      <w:pPr>
        <w:ind w:left="1350" w:hanging="180"/>
      </w:pPr>
    </w:lvl>
    <w:lvl w:ilvl="3" w:tplc="DF6CC04A">
      <w:start w:val="1"/>
      <w:numFmt w:val="decimal"/>
      <w:lvlText w:val="%4."/>
      <w:lvlJc w:val="left"/>
      <w:pPr>
        <w:ind w:left="189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4D167EAD"/>
    <w:multiLevelType w:val="hybridMultilevel"/>
    <w:tmpl w:val="2CE0E082"/>
    <w:lvl w:ilvl="0" w:tplc="5A48DF02">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889B22"/>
    <w:multiLevelType w:val="hybridMultilevel"/>
    <w:tmpl w:val="70587C3A"/>
    <w:lvl w:ilvl="0" w:tplc="29C6E550">
      <w:start w:val="1"/>
      <w:numFmt w:val="bullet"/>
      <w:lvlText w:val=""/>
      <w:lvlJc w:val="left"/>
      <w:pPr>
        <w:ind w:left="360" w:hanging="360"/>
      </w:pPr>
      <w:rPr>
        <w:rFonts w:ascii="Symbol" w:hAnsi="Symbol" w:hint="default"/>
      </w:rPr>
    </w:lvl>
    <w:lvl w:ilvl="1" w:tplc="C03EB084">
      <w:start w:val="1"/>
      <w:numFmt w:val="bullet"/>
      <w:lvlText w:val="o"/>
      <w:lvlJc w:val="left"/>
      <w:pPr>
        <w:ind w:left="1440" w:hanging="360"/>
      </w:pPr>
      <w:rPr>
        <w:rFonts w:ascii="Courier New" w:hAnsi="Courier New" w:hint="default"/>
      </w:rPr>
    </w:lvl>
    <w:lvl w:ilvl="2" w:tplc="624C708A">
      <w:start w:val="1"/>
      <w:numFmt w:val="bullet"/>
      <w:lvlText w:val=""/>
      <w:lvlJc w:val="left"/>
      <w:pPr>
        <w:ind w:left="2160" w:hanging="360"/>
      </w:pPr>
      <w:rPr>
        <w:rFonts w:ascii="Wingdings" w:hAnsi="Wingdings" w:hint="default"/>
      </w:rPr>
    </w:lvl>
    <w:lvl w:ilvl="3" w:tplc="F6D25C98">
      <w:start w:val="1"/>
      <w:numFmt w:val="bullet"/>
      <w:lvlText w:val=""/>
      <w:lvlJc w:val="left"/>
      <w:pPr>
        <w:ind w:left="2880" w:hanging="360"/>
      </w:pPr>
      <w:rPr>
        <w:rFonts w:ascii="Symbol" w:hAnsi="Symbol" w:hint="default"/>
      </w:rPr>
    </w:lvl>
    <w:lvl w:ilvl="4" w:tplc="D0C81C2E">
      <w:start w:val="1"/>
      <w:numFmt w:val="bullet"/>
      <w:lvlText w:val="o"/>
      <w:lvlJc w:val="left"/>
      <w:pPr>
        <w:ind w:left="3600" w:hanging="360"/>
      </w:pPr>
      <w:rPr>
        <w:rFonts w:ascii="Courier New" w:hAnsi="Courier New" w:hint="default"/>
      </w:rPr>
    </w:lvl>
    <w:lvl w:ilvl="5" w:tplc="791482FA">
      <w:start w:val="1"/>
      <w:numFmt w:val="bullet"/>
      <w:lvlText w:val=""/>
      <w:lvlJc w:val="left"/>
      <w:pPr>
        <w:ind w:left="4320" w:hanging="360"/>
      </w:pPr>
      <w:rPr>
        <w:rFonts w:ascii="Wingdings" w:hAnsi="Wingdings" w:hint="default"/>
      </w:rPr>
    </w:lvl>
    <w:lvl w:ilvl="6" w:tplc="257EC96A">
      <w:start w:val="1"/>
      <w:numFmt w:val="bullet"/>
      <w:lvlText w:val=""/>
      <w:lvlJc w:val="left"/>
      <w:pPr>
        <w:ind w:left="5040" w:hanging="360"/>
      </w:pPr>
      <w:rPr>
        <w:rFonts w:ascii="Symbol" w:hAnsi="Symbol" w:hint="default"/>
      </w:rPr>
    </w:lvl>
    <w:lvl w:ilvl="7" w:tplc="9D4CE924">
      <w:start w:val="1"/>
      <w:numFmt w:val="bullet"/>
      <w:lvlText w:val="o"/>
      <w:lvlJc w:val="left"/>
      <w:pPr>
        <w:ind w:left="5760" w:hanging="360"/>
      </w:pPr>
      <w:rPr>
        <w:rFonts w:ascii="Courier New" w:hAnsi="Courier New" w:hint="default"/>
      </w:rPr>
    </w:lvl>
    <w:lvl w:ilvl="8" w:tplc="95684AB0">
      <w:start w:val="1"/>
      <w:numFmt w:val="bullet"/>
      <w:lvlText w:val=""/>
      <w:lvlJc w:val="left"/>
      <w:pPr>
        <w:ind w:left="6480" w:hanging="360"/>
      </w:pPr>
      <w:rPr>
        <w:rFonts w:ascii="Wingdings" w:hAnsi="Wingdings" w:hint="default"/>
      </w:rPr>
    </w:lvl>
  </w:abstractNum>
  <w:abstractNum w:abstractNumId="44" w15:restartNumberingAfterBreak="0">
    <w:nsid w:val="4FE420AD"/>
    <w:multiLevelType w:val="hybridMultilevel"/>
    <w:tmpl w:val="7E702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0BD2A50"/>
    <w:multiLevelType w:val="hybridMultilevel"/>
    <w:tmpl w:val="2CF2C702"/>
    <w:lvl w:ilvl="0" w:tplc="4E86B9A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16B39EF"/>
    <w:multiLevelType w:val="singleLevel"/>
    <w:tmpl w:val="EA5C7824"/>
    <w:lvl w:ilvl="0">
      <w:start w:val="1"/>
      <w:numFmt w:val="bullet"/>
      <w:lvlText w:val=""/>
      <w:lvlJc w:val="left"/>
      <w:pPr>
        <w:tabs>
          <w:tab w:val="num" w:pos="360"/>
        </w:tabs>
        <w:ind w:left="288" w:hanging="288"/>
      </w:pPr>
      <w:rPr>
        <w:rFonts w:ascii="Symbol" w:hAnsi="Symbol" w:hint="default"/>
      </w:rPr>
    </w:lvl>
  </w:abstractNum>
  <w:abstractNum w:abstractNumId="47" w15:restartNumberingAfterBreak="0">
    <w:nsid w:val="53287F1C"/>
    <w:multiLevelType w:val="hybridMultilevel"/>
    <w:tmpl w:val="6932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4687B5C"/>
    <w:multiLevelType w:val="hybridMultilevel"/>
    <w:tmpl w:val="981AC78E"/>
    <w:lvl w:ilvl="0" w:tplc="4AAAD5B4">
      <w:start w:val="1"/>
      <w:numFmt w:val="bullet"/>
      <w:lvlText w:val=""/>
      <w:lvlJc w:val="left"/>
      <w:pPr>
        <w:ind w:left="360" w:hanging="360"/>
      </w:pPr>
      <w:rPr>
        <w:rFonts w:ascii="Symbol" w:hAnsi="Symbol" w:hint="default"/>
      </w:rPr>
    </w:lvl>
    <w:lvl w:ilvl="1" w:tplc="1CB21B78">
      <w:start w:val="1"/>
      <w:numFmt w:val="bullet"/>
      <w:lvlText w:val="o"/>
      <w:lvlJc w:val="left"/>
      <w:pPr>
        <w:ind w:left="1440" w:hanging="360"/>
      </w:pPr>
      <w:rPr>
        <w:rFonts w:ascii="Courier New" w:hAnsi="Courier New" w:hint="default"/>
      </w:rPr>
    </w:lvl>
    <w:lvl w:ilvl="2" w:tplc="264C7E9E">
      <w:start w:val="1"/>
      <w:numFmt w:val="bullet"/>
      <w:lvlText w:val=""/>
      <w:lvlJc w:val="left"/>
      <w:pPr>
        <w:ind w:left="2160" w:hanging="360"/>
      </w:pPr>
      <w:rPr>
        <w:rFonts w:ascii="Wingdings" w:hAnsi="Wingdings" w:hint="default"/>
      </w:rPr>
    </w:lvl>
    <w:lvl w:ilvl="3" w:tplc="D06651DC">
      <w:start w:val="1"/>
      <w:numFmt w:val="bullet"/>
      <w:lvlText w:val=""/>
      <w:lvlJc w:val="left"/>
      <w:pPr>
        <w:ind w:left="2880" w:hanging="360"/>
      </w:pPr>
      <w:rPr>
        <w:rFonts w:ascii="Symbol" w:hAnsi="Symbol" w:hint="default"/>
      </w:rPr>
    </w:lvl>
    <w:lvl w:ilvl="4" w:tplc="D5105D82">
      <w:start w:val="1"/>
      <w:numFmt w:val="bullet"/>
      <w:lvlText w:val="o"/>
      <w:lvlJc w:val="left"/>
      <w:pPr>
        <w:ind w:left="3600" w:hanging="360"/>
      </w:pPr>
      <w:rPr>
        <w:rFonts w:ascii="Courier New" w:hAnsi="Courier New" w:hint="default"/>
      </w:rPr>
    </w:lvl>
    <w:lvl w:ilvl="5" w:tplc="D2361894">
      <w:start w:val="1"/>
      <w:numFmt w:val="bullet"/>
      <w:lvlText w:val=""/>
      <w:lvlJc w:val="left"/>
      <w:pPr>
        <w:ind w:left="4320" w:hanging="360"/>
      </w:pPr>
      <w:rPr>
        <w:rFonts w:ascii="Wingdings" w:hAnsi="Wingdings" w:hint="default"/>
      </w:rPr>
    </w:lvl>
    <w:lvl w:ilvl="6" w:tplc="5E704EDE">
      <w:start w:val="1"/>
      <w:numFmt w:val="bullet"/>
      <w:lvlText w:val=""/>
      <w:lvlJc w:val="left"/>
      <w:pPr>
        <w:ind w:left="5040" w:hanging="360"/>
      </w:pPr>
      <w:rPr>
        <w:rFonts w:ascii="Symbol" w:hAnsi="Symbol" w:hint="default"/>
      </w:rPr>
    </w:lvl>
    <w:lvl w:ilvl="7" w:tplc="24005F86">
      <w:start w:val="1"/>
      <w:numFmt w:val="bullet"/>
      <w:lvlText w:val="o"/>
      <w:lvlJc w:val="left"/>
      <w:pPr>
        <w:ind w:left="5760" w:hanging="360"/>
      </w:pPr>
      <w:rPr>
        <w:rFonts w:ascii="Courier New" w:hAnsi="Courier New" w:hint="default"/>
      </w:rPr>
    </w:lvl>
    <w:lvl w:ilvl="8" w:tplc="317E4036">
      <w:start w:val="1"/>
      <w:numFmt w:val="bullet"/>
      <w:lvlText w:val=""/>
      <w:lvlJc w:val="left"/>
      <w:pPr>
        <w:ind w:left="6480" w:hanging="360"/>
      </w:pPr>
      <w:rPr>
        <w:rFonts w:ascii="Wingdings" w:hAnsi="Wingdings" w:hint="default"/>
      </w:rPr>
    </w:lvl>
  </w:abstractNum>
  <w:abstractNum w:abstractNumId="49" w15:restartNumberingAfterBreak="0">
    <w:nsid w:val="55A9C16C"/>
    <w:multiLevelType w:val="hybridMultilevel"/>
    <w:tmpl w:val="9C1C8EEA"/>
    <w:lvl w:ilvl="0" w:tplc="19367C84">
      <w:start w:val="1"/>
      <w:numFmt w:val="bullet"/>
      <w:lvlText w:val=""/>
      <w:lvlJc w:val="left"/>
      <w:pPr>
        <w:ind w:left="360" w:hanging="360"/>
      </w:pPr>
      <w:rPr>
        <w:rFonts w:ascii="Symbol" w:hAnsi="Symbol" w:hint="default"/>
      </w:rPr>
    </w:lvl>
    <w:lvl w:ilvl="1" w:tplc="6FBE2F4A">
      <w:start w:val="1"/>
      <w:numFmt w:val="bullet"/>
      <w:lvlText w:val="o"/>
      <w:lvlJc w:val="left"/>
      <w:pPr>
        <w:ind w:left="1440" w:hanging="360"/>
      </w:pPr>
      <w:rPr>
        <w:rFonts w:ascii="Courier New" w:hAnsi="Courier New" w:hint="default"/>
      </w:rPr>
    </w:lvl>
    <w:lvl w:ilvl="2" w:tplc="B97E8FA4">
      <w:start w:val="1"/>
      <w:numFmt w:val="bullet"/>
      <w:lvlText w:val=""/>
      <w:lvlJc w:val="left"/>
      <w:pPr>
        <w:ind w:left="2160" w:hanging="360"/>
      </w:pPr>
      <w:rPr>
        <w:rFonts w:ascii="Wingdings" w:hAnsi="Wingdings" w:hint="default"/>
      </w:rPr>
    </w:lvl>
    <w:lvl w:ilvl="3" w:tplc="1D26C446">
      <w:start w:val="1"/>
      <w:numFmt w:val="bullet"/>
      <w:lvlText w:val=""/>
      <w:lvlJc w:val="left"/>
      <w:pPr>
        <w:ind w:left="2880" w:hanging="360"/>
      </w:pPr>
      <w:rPr>
        <w:rFonts w:ascii="Symbol" w:hAnsi="Symbol" w:hint="default"/>
      </w:rPr>
    </w:lvl>
    <w:lvl w:ilvl="4" w:tplc="22C683B0">
      <w:start w:val="1"/>
      <w:numFmt w:val="bullet"/>
      <w:lvlText w:val="o"/>
      <w:lvlJc w:val="left"/>
      <w:pPr>
        <w:ind w:left="3600" w:hanging="360"/>
      </w:pPr>
      <w:rPr>
        <w:rFonts w:ascii="Courier New" w:hAnsi="Courier New" w:hint="default"/>
      </w:rPr>
    </w:lvl>
    <w:lvl w:ilvl="5" w:tplc="8584B246">
      <w:start w:val="1"/>
      <w:numFmt w:val="bullet"/>
      <w:lvlText w:val=""/>
      <w:lvlJc w:val="left"/>
      <w:pPr>
        <w:ind w:left="4320" w:hanging="360"/>
      </w:pPr>
      <w:rPr>
        <w:rFonts w:ascii="Wingdings" w:hAnsi="Wingdings" w:hint="default"/>
      </w:rPr>
    </w:lvl>
    <w:lvl w:ilvl="6" w:tplc="D8F4874E">
      <w:start w:val="1"/>
      <w:numFmt w:val="bullet"/>
      <w:lvlText w:val=""/>
      <w:lvlJc w:val="left"/>
      <w:pPr>
        <w:ind w:left="5040" w:hanging="360"/>
      </w:pPr>
      <w:rPr>
        <w:rFonts w:ascii="Symbol" w:hAnsi="Symbol" w:hint="default"/>
      </w:rPr>
    </w:lvl>
    <w:lvl w:ilvl="7" w:tplc="1E0C13D0">
      <w:start w:val="1"/>
      <w:numFmt w:val="bullet"/>
      <w:lvlText w:val="o"/>
      <w:lvlJc w:val="left"/>
      <w:pPr>
        <w:ind w:left="5760" w:hanging="360"/>
      </w:pPr>
      <w:rPr>
        <w:rFonts w:ascii="Courier New" w:hAnsi="Courier New" w:hint="default"/>
      </w:rPr>
    </w:lvl>
    <w:lvl w:ilvl="8" w:tplc="7EB2F382">
      <w:start w:val="1"/>
      <w:numFmt w:val="bullet"/>
      <w:lvlText w:val=""/>
      <w:lvlJc w:val="left"/>
      <w:pPr>
        <w:ind w:left="6480" w:hanging="360"/>
      </w:pPr>
      <w:rPr>
        <w:rFonts w:ascii="Wingdings" w:hAnsi="Wingdings" w:hint="default"/>
      </w:rPr>
    </w:lvl>
  </w:abstractNum>
  <w:abstractNum w:abstractNumId="50" w15:restartNumberingAfterBreak="0">
    <w:nsid w:val="565F3FFF"/>
    <w:multiLevelType w:val="hybridMultilevel"/>
    <w:tmpl w:val="C90EC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703C50"/>
    <w:multiLevelType w:val="hybridMultilevel"/>
    <w:tmpl w:val="1D0CD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4506F5"/>
    <w:multiLevelType w:val="multilevel"/>
    <w:tmpl w:val="23CA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A1651A1"/>
    <w:multiLevelType w:val="hybridMultilevel"/>
    <w:tmpl w:val="C0C00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893E79"/>
    <w:multiLevelType w:val="hybridMultilevel"/>
    <w:tmpl w:val="DD9EA554"/>
    <w:lvl w:ilvl="0" w:tplc="3AB0F90C">
      <w:start w:val="1"/>
      <w:numFmt w:val="bullet"/>
      <w:lvlText w:val=""/>
      <w:lvlJc w:val="left"/>
      <w:pPr>
        <w:ind w:left="720" w:hanging="360"/>
      </w:pPr>
      <w:rPr>
        <w:rFonts w:ascii="Symbol" w:hAnsi="Symbol" w:hint="default"/>
      </w:rPr>
    </w:lvl>
    <w:lvl w:ilvl="1" w:tplc="DD9AE704">
      <w:start w:val="1"/>
      <w:numFmt w:val="bullet"/>
      <w:lvlText w:val="o"/>
      <w:lvlJc w:val="left"/>
      <w:pPr>
        <w:ind w:left="1440" w:hanging="360"/>
      </w:pPr>
      <w:rPr>
        <w:rFonts w:ascii="Courier New" w:hAnsi="Courier New" w:hint="default"/>
      </w:rPr>
    </w:lvl>
    <w:lvl w:ilvl="2" w:tplc="458447C8">
      <w:start w:val="1"/>
      <w:numFmt w:val="bullet"/>
      <w:lvlText w:val=""/>
      <w:lvlJc w:val="left"/>
      <w:pPr>
        <w:ind w:left="2160" w:hanging="360"/>
      </w:pPr>
      <w:rPr>
        <w:rFonts w:ascii="Wingdings" w:hAnsi="Wingdings" w:hint="default"/>
      </w:rPr>
    </w:lvl>
    <w:lvl w:ilvl="3" w:tplc="37C4DE3C">
      <w:start w:val="1"/>
      <w:numFmt w:val="bullet"/>
      <w:lvlText w:val=""/>
      <w:lvlJc w:val="left"/>
      <w:pPr>
        <w:ind w:left="2880" w:hanging="360"/>
      </w:pPr>
      <w:rPr>
        <w:rFonts w:ascii="Symbol" w:hAnsi="Symbol" w:hint="default"/>
      </w:rPr>
    </w:lvl>
    <w:lvl w:ilvl="4" w:tplc="4DBA6B08">
      <w:start w:val="1"/>
      <w:numFmt w:val="bullet"/>
      <w:lvlText w:val="o"/>
      <w:lvlJc w:val="left"/>
      <w:pPr>
        <w:ind w:left="3600" w:hanging="360"/>
      </w:pPr>
      <w:rPr>
        <w:rFonts w:ascii="Courier New" w:hAnsi="Courier New" w:hint="default"/>
      </w:rPr>
    </w:lvl>
    <w:lvl w:ilvl="5" w:tplc="7284D684">
      <w:start w:val="1"/>
      <w:numFmt w:val="bullet"/>
      <w:lvlText w:val=""/>
      <w:lvlJc w:val="left"/>
      <w:pPr>
        <w:ind w:left="4320" w:hanging="360"/>
      </w:pPr>
      <w:rPr>
        <w:rFonts w:ascii="Wingdings" w:hAnsi="Wingdings" w:hint="default"/>
      </w:rPr>
    </w:lvl>
    <w:lvl w:ilvl="6" w:tplc="1166B374">
      <w:start w:val="1"/>
      <w:numFmt w:val="bullet"/>
      <w:lvlText w:val=""/>
      <w:lvlJc w:val="left"/>
      <w:pPr>
        <w:ind w:left="5040" w:hanging="360"/>
      </w:pPr>
      <w:rPr>
        <w:rFonts w:ascii="Symbol" w:hAnsi="Symbol" w:hint="default"/>
      </w:rPr>
    </w:lvl>
    <w:lvl w:ilvl="7" w:tplc="16368D74">
      <w:start w:val="1"/>
      <w:numFmt w:val="bullet"/>
      <w:lvlText w:val="o"/>
      <w:lvlJc w:val="left"/>
      <w:pPr>
        <w:ind w:left="5760" w:hanging="360"/>
      </w:pPr>
      <w:rPr>
        <w:rFonts w:ascii="Courier New" w:hAnsi="Courier New" w:hint="default"/>
      </w:rPr>
    </w:lvl>
    <w:lvl w:ilvl="8" w:tplc="3528A2F0">
      <w:start w:val="1"/>
      <w:numFmt w:val="bullet"/>
      <w:lvlText w:val=""/>
      <w:lvlJc w:val="left"/>
      <w:pPr>
        <w:ind w:left="6480" w:hanging="360"/>
      </w:pPr>
      <w:rPr>
        <w:rFonts w:ascii="Wingdings" w:hAnsi="Wingdings" w:hint="default"/>
      </w:rPr>
    </w:lvl>
  </w:abstractNum>
  <w:abstractNum w:abstractNumId="55" w15:restartNumberingAfterBreak="0">
    <w:nsid w:val="5CB66DEF"/>
    <w:multiLevelType w:val="singleLevel"/>
    <w:tmpl w:val="B718C2EA"/>
    <w:lvl w:ilvl="0">
      <w:start w:val="1"/>
      <w:numFmt w:val="decimal"/>
      <w:lvlText w:val="%1."/>
      <w:lvlJc w:val="left"/>
      <w:pPr>
        <w:tabs>
          <w:tab w:val="num" w:pos="360"/>
        </w:tabs>
        <w:ind w:left="360" w:hanging="360"/>
      </w:pPr>
      <w:rPr>
        <w:b w:val="0"/>
        <w:i w:val="0"/>
      </w:rPr>
    </w:lvl>
  </w:abstractNum>
  <w:abstractNum w:abstractNumId="56" w15:restartNumberingAfterBreak="0">
    <w:nsid w:val="5D9155E0"/>
    <w:multiLevelType w:val="hybridMultilevel"/>
    <w:tmpl w:val="78AC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15C5C6D"/>
    <w:multiLevelType w:val="hybridMultilevel"/>
    <w:tmpl w:val="69C87B3C"/>
    <w:lvl w:ilvl="0" w:tplc="5A48DF02">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15EC007"/>
    <w:multiLevelType w:val="hybridMultilevel"/>
    <w:tmpl w:val="AD88ACD6"/>
    <w:lvl w:ilvl="0" w:tplc="27E62D22">
      <w:start w:val="1"/>
      <w:numFmt w:val="bullet"/>
      <w:lvlText w:val=""/>
      <w:lvlJc w:val="left"/>
      <w:pPr>
        <w:ind w:left="720" w:hanging="360"/>
      </w:pPr>
      <w:rPr>
        <w:rFonts w:ascii="Symbol" w:hAnsi="Symbol" w:hint="default"/>
      </w:rPr>
    </w:lvl>
    <w:lvl w:ilvl="1" w:tplc="EBC21BB8">
      <w:start w:val="1"/>
      <w:numFmt w:val="bullet"/>
      <w:lvlText w:val="o"/>
      <w:lvlJc w:val="left"/>
      <w:pPr>
        <w:ind w:left="1440" w:hanging="360"/>
      </w:pPr>
      <w:rPr>
        <w:rFonts w:ascii="Courier New" w:hAnsi="Courier New" w:hint="default"/>
      </w:rPr>
    </w:lvl>
    <w:lvl w:ilvl="2" w:tplc="B490B0A6">
      <w:start w:val="1"/>
      <w:numFmt w:val="bullet"/>
      <w:lvlText w:val=""/>
      <w:lvlJc w:val="left"/>
      <w:pPr>
        <w:ind w:left="2160" w:hanging="360"/>
      </w:pPr>
      <w:rPr>
        <w:rFonts w:ascii="Wingdings" w:hAnsi="Wingdings" w:hint="default"/>
      </w:rPr>
    </w:lvl>
    <w:lvl w:ilvl="3" w:tplc="488EEB54">
      <w:start w:val="1"/>
      <w:numFmt w:val="bullet"/>
      <w:lvlText w:val=""/>
      <w:lvlJc w:val="left"/>
      <w:pPr>
        <w:ind w:left="2880" w:hanging="360"/>
      </w:pPr>
      <w:rPr>
        <w:rFonts w:ascii="Symbol" w:hAnsi="Symbol" w:hint="default"/>
      </w:rPr>
    </w:lvl>
    <w:lvl w:ilvl="4" w:tplc="8EE095AE">
      <w:start w:val="1"/>
      <w:numFmt w:val="bullet"/>
      <w:lvlText w:val="o"/>
      <w:lvlJc w:val="left"/>
      <w:pPr>
        <w:ind w:left="3600" w:hanging="360"/>
      </w:pPr>
      <w:rPr>
        <w:rFonts w:ascii="Courier New" w:hAnsi="Courier New" w:hint="default"/>
      </w:rPr>
    </w:lvl>
    <w:lvl w:ilvl="5" w:tplc="E362D5D4">
      <w:start w:val="1"/>
      <w:numFmt w:val="bullet"/>
      <w:lvlText w:val=""/>
      <w:lvlJc w:val="left"/>
      <w:pPr>
        <w:ind w:left="4320" w:hanging="360"/>
      </w:pPr>
      <w:rPr>
        <w:rFonts w:ascii="Wingdings" w:hAnsi="Wingdings" w:hint="default"/>
      </w:rPr>
    </w:lvl>
    <w:lvl w:ilvl="6" w:tplc="BD0E397A">
      <w:start w:val="1"/>
      <w:numFmt w:val="bullet"/>
      <w:lvlText w:val=""/>
      <w:lvlJc w:val="left"/>
      <w:pPr>
        <w:ind w:left="5040" w:hanging="360"/>
      </w:pPr>
      <w:rPr>
        <w:rFonts w:ascii="Symbol" w:hAnsi="Symbol" w:hint="default"/>
      </w:rPr>
    </w:lvl>
    <w:lvl w:ilvl="7" w:tplc="6C8A419C">
      <w:start w:val="1"/>
      <w:numFmt w:val="bullet"/>
      <w:lvlText w:val="o"/>
      <w:lvlJc w:val="left"/>
      <w:pPr>
        <w:ind w:left="5760" w:hanging="360"/>
      </w:pPr>
      <w:rPr>
        <w:rFonts w:ascii="Courier New" w:hAnsi="Courier New" w:hint="default"/>
      </w:rPr>
    </w:lvl>
    <w:lvl w:ilvl="8" w:tplc="7F5A45DA">
      <w:start w:val="1"/>
      <w:numFmt w:val="bullet"/>
      <w:lvlText w:val=""/>
      <w:lvlJc w:val="left"/>
      <w:pPr>
        <w:ind w:left="6480" w:hanging="360"/>
      </w:pPr>
      <w:rPr>
        <w:rFonts w:ascii="Wingdings" w:hAnsi="Wingdings" w:hint="default"/>
      </w:rPr>
    </w:lvl>
  </w:abstractNum>
  <w:abstractNum w:abstractNumId="59" w15:restartNumberingAfterBreak="0">
    <w:nsid w:val="637D0935"/>
    <w:multiLevelType w:val="multilevel"/>
    <w:tmpl w:val="C656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3890F14"/>
    <w:multiLevelType w:val="hybridMultilevel"/>
    <w:tmpl w:val="9E686CDE"/>
    <w:lvl w:ilvl="0" w:tplc="0290A28A">
      <w:start w:val="1"/>
      <w:numFmt w:val="bullet"/>
      <w:lvlText w:val=""/>
      <w:lvlJc w:val="left"/>
      <w:pPr>
        <w:ind w:left="360" w:hanging="360"/>
      </w:pPr>
      <w:rPr>
        <w:rFonts w:ascii="Symbol" w:hAnsi="Symbol" w:hint="default"/>
      </w:rPr>
    </w:lvl>
    <w:lvl w:ilvl="1" w:tplc="1E40DADA">
      <w:start w:val="1"/>
      <w:numFmt w:val="bullet"/>
      <w:lvlText w:val="o"/>
      <w:lvlJc w:val="left"/>
      <w:pPr>
        <w:ind w:left="1440" w:hanging="360"/>
      </w:pPr>
      <w:rPr>
        <w:rFonts w:ascii="Courier New" w:hAnsi="Courier New" w:hint="default"/>
      </w:rPr>
    </w:lvl>
    <w:lvl w:ilvl="2" w:tplc="7F9606F4">
      <w:start w:val="1"/>
      <w:numFmt w:val="bullet"/>
      <w:lvlText w:val=""/>
      <w:lvlJc w:val="left"/>
      <w:pPr>
        <w:ind w:left="2160" w:hanging="360"/>
      </w:pPr>
      <w:rPr>
        <w:rFonts w:ascii="Wingdings" w:hAnsi="Wingdings" w:hint="default"/>
      </w:rPr>
    </w:lvl>
    <w:lvl w:ilvl="3" w:tplc="296C6F82">
      <w:start w:val="1"/>
      <w:numFmt w:val="bullet"/>
      <w:lvlText w:val=""/>
      <w:lvlJc w:val="left"/>
      <w:pPr>
        <w:ind w:left="2880" w:hanging="360"/>
      </w:pPr>
      <w:rPr>
        <w:rFonts w:ascii="Symbol" w:hAnsi="Symbol" w:hint="default"/>
      </w:rPr>
    </w:lvl>
    <w:lvl w:ilvl="4" w:tplc="3F0872DE">
      <w:start w:val="1"/>
      <w:numFmt w:val="bullet"/>
      <w:lvlText w:val="o"/>
      <w:lvlJc w:val="left"/>
      <w:pPr>
        <w:ind w:left="3600" w:hanging="360"/>
      </w:pPr>
      <w:rPr>
        <w:rFonts w:ascii="Courier New" w:hAnsi="Courier New" w:hint="default"/>
      </w:rPr>
    </w:lvl>
    <w:lvl w:ilvl="5" w:tplc="1D20B09E">
      <w:start w:val="1"/>
      <w:numFmt w:val="bullet"/>
      <w:lvlText w:val=""/>
      <w:lvlJc w:val="left"/>
      <w:pPr>
        <w:ind w:left="4320" w:hanging="360"/>
      </w:pPr>
      <w:rPr>
        <w:rFonts w:ascii="Wingdings" w:hAnsi="Wingdings" w:hint="default"/>
      </w:rPr>
    </w:lvl>
    <w:lvl w:ilvl="6" w:tplc="14F45C4C">
      <w:start w:val="1"/>
      <w:numFmt w:val="bullet"/>
      <w:lvlText w:val=""/>
      <w:lvlJc w:val="left"/>
      <w:pPr>
        <w:ind w:left="5040" w:hanging="360"/>
      </w:pPr>
      <w:rPr>
        <w:rFonts w:ascii="Symbol" w:hAnsi="Symbol" w:hint="default"/>
      </w:rPr>
    </w:lvl>
    <w:lvl w:ilvl="7" w:tplc="5388072A">
      <w:start w:val="1"/>
      <w:numFmt w:val="bullet"/>
      <w:lvlText w:val="o"/>
      <w:lvlJc w:val="left"/>
      <w:pPr>
        <w:ind w:left="5760" w:hanging="360"/>
      </w:pPr>
      <w:rPr>
        <w:rFonts w:ascii="Courier New" w:hAnsi="Courier New" w:hint="default"/>
      </w:rPr>
    </w:lvl>
    <w:lvl w:ilvl="8" w:tplc="4322FBB0">
      <w:start w:val="1"/>
      <w:numFmt w:val="bullet"/>
      <w:lvlText w:val=""/>
      <w:lvlJc w:val="left"/>
      <w:pPr>
        <w:ind w:left="6480" w:hanging="360"/>
      </w:pPr>
      <w:rPr>
        <w:rFonts w:ascii="Wingdings" w:hAnsi="Wingdings" w:hint="default"/>
      </w:rPr>
    </w:lvl>
  </w:abstractNum>
  <w:abstractNum w:abstractNumId="61" w15:restartNumberingAfterBreak="0">
    <w:nsid w:val="65745C2B"/>
    <w:multiLevelType w:val="hybridMultilevel"/>
    <w:tmpl w:val="4FF02E8A"/>
    <w:lvl w:ilvl="0" w:tplc="04090001">
      <w:start w:val="1"/>
      <w:numFmt w:val="bullet"/>
      <w:lvlText w:val=""/>
      <w:lvlJc w:val="left"/>
      <w:pPr>
        <w:ind w:left="1250" w:hanging="360"/>
      </w:pPr>
      <w:rPr>
        <w:rFonts w:ascii="Symbol" w:hAnsi="Symbol" w:hint="default"/>
      </w:rPr>
    </w:lvl>
    <w:lvl w:ilvl="1" w:tplc="04090003" w:tentative="1">
      <w:start w:val="1"/>
      <w:numFmt w:val="bullet"/>
      <w:lvlText w:val="o"/>
      <w:lvlJc w:val="left"/>
      <w:pPr>
        <w:ind w:left="1970" w:hanging="360"/>
      </w:pPr>
      <w:rPr>
        <w:rFonts w:ascii="Courier New" w:hAnsi="Courier New" w:cs="Courier New" w:hint="default"/>
      </w:rPr>
    </w:lvl>
    <w:lvl w:ilvl="2" w:tplc="04090005" w:tentative="1">
      <w:start w:val="1"/>
      <w:numFmt w:val="bullet"/>
      <w:lvlText w:val=""/>
      <w:lvlJc w:val="left"/>
      <w:pPr>
        <w:ind w:left="2690" w:hanging="360"/>
      </w:pPr>
      <w:rPr>
        <w:rFonts w:ascii="Wingdings" w:hAnsi="Wingdings" w:hint="default"/>
      </w:rPr>
    </w:lvl>
    <w:lvl w:ilvl="3" w:tplc="04090001" w:tentative="1">
      <w:start w:val="1"/>
      <w:numFmt w:val="bullet"/>
      <w:lvlText w:val=""/>
      <w:lvlJc w:val="left"/>
      <w:pPr>
        <w:ind w:left="3410" w:hanging="360"/>
      </w:pPr>
      <w:rPr>
        <w:rFonts w:ascii="Symbol" w:hAnsi="Symbol" w:hint="default"/>
      </w:rPr>
    </w:lvl>
    <w:lvl w:ilvl="4" w:tplc="04090003" w:tentative="1">
      <w:start w:val="1"/>
      <w:numFmt w:val="bullet"/>
      <w:lvlText w:val="o"/>
      <w:lvlJc w:val="left"/>
      <w:pPr>
        <w:ind w:left="4130" w:hanging="360"/>
      </w:pPr>
      <w:rPr>
        <w:rFonts w:ascii="Courier New" w:hAnsi="Courier New" w:cs="Courier New" w:hint="default"/>
      </w:rPr>
    </w:lvl>
    <w:lvl w:ilvl="5" w:tplc="04090005" w:tentative="1">
      <w:start w:val="1"/>
      <w:numFmt w:val="bullet"/>
      <w:lvlText w:val=""/>
      <w:lvlJc w:val="left"/>
      <w:pPr>
        <w:ind w:left="4850" w:hanging="360"/>
      </w:pPr>
      <w:rPr>
        <w:rFonts w:ascii="Wingdings" w:hAnsi="Wingdings" w:hint="default"/>
      </w:rPr>
    </w:lvl>
    <w:lvl w:ilvl="6" w:tplc="04090001" w:tentative="1">
      <w:start w:val="1"/>
      <w:numFmt w:val="bullet"/>
      <w:lvlText w:val=""/>
      <w:lvlJc w:val="left"/>
      <w:pPr>
        <w:ind w:left="5570" w:hanging="360"/>
      </w:pPr>
      <w:rPr>
        <w:rFonts w:ascii="Symbol" w:hAnsi="Symbol" w:hint="default"/>
      </w:rPr>
    </w:lvl>
    <w:lvl w:ilvl="7" w:tplc="04090003" w:tentative="1">
      <w:start w:val="1"/>
      <w:numFmt w:val="bullet"/>
      <w:lvlText w:val="o"/>
      <w:lvlJc w:val="left"/>
      <w:pPr>
        <w:ind w:left="6290" w:hanging="360"/>
      </w:pPr>
      <w:rPr>
        <w:rFonts w:ascii="Courier New" w:hAnsi="Courier New" w:cs="Courier New" w:hint="default"/>
      </w:rPr>
    </w:lvl>
    <w:lvl w:ilvl="8" w:tplc="04090005" w:tentative="1">
      <w:start w:val="1"/>
      <w:numFmt w:val="bullet"/>
      <w:lvlText w:val=""/>
      <w:lvlJc w:val="left"/>
      <w:pPr>
        <w:ind w:left="7010" w:hanging="360"/>
      </w:pPr>
      <w:rPr>
        <w:rFonts w:ascii="Wingdings" w:hAnsi="Wingdings" w:hint="default"/>
      </w:rPr>
    </w:lvl>
  </w:abstractNum>
  <w:abstractNum w:abstractNumId="62" w15:restartNumberingAfterBreak="0">
    <w:nsid w:val="66ADE668"/>
    <w:multiLevelType w:val="hybridMultilevel"/>
    <w:tmpl w:val="C6FEA7A6"/>
    <w:lvl w:ilvl="0" w:tplc="1D3E2552">
      <w:start w:val="1"/>
      <w:numFmt w:val="bullet"/>
      <w:lvlText w:val="·"/>
      <w:lvlJc w:val="left"/>
      <w:pPr>
        <w:ind w:left="720" w:hanging="360"/>
      </w:pPr>
      <w:rPr>
        <w:rFonts w:ascii="Symbol" w:hAnsi="Symbol" w:hint="default"/>
      </w:rPr>
    </w:lvl>
    <w:lvl w:ilvl="1" w:tplc="371230CA">
      <w:start w:val="1"/>
      <w:numFmt w:val="bullet"/>
      <w:lvlText w:val="o"/>
      <w:lvlJc w:val="left"/>
      <w:pPr>
        <w:ind w:left="1440" w:hanging="360"/>
      </w:pPr>
      <w:rPr>
        <w:rFonts w:ascii="Courier New" w:hAnsi="Courier New" w:hint="default"/>
      </w:rPr>
    </w:lvl>
    <w:lvl w:ilvl="2" w:tplc="3912ED52">
      <w:start w:val="1"/>
      <w:numFmt w:val="bullet"/>
      <w:lvlText w:val=""/>
      <w:lvlJc w:val="left"/>
      <w:pPr>
        <w:ind w:left="2160" w:hanging="360"/>
      </w:pPr>
      <w:rPr>
        <w:rFonts w:ascii="Wingdings" w:hAnsi="Wingdings" w:hint="default"/>
      </w:rPr>
    </w:lvl>
    <w:lvl w:ilvl="3" w:tplc="08F6381C">
      <w:start w:val="1"/>
      <w:numFmt w:val="bullet"/>
      <w:lvlText w:val=""/>
      <w:lvlJc w:val="left"/>
      <w:pPr>
        <w:ind w:left="2880" w:hanging="360"/>
      </w:pPr>
      <w:rPr>
        <w:rFonts w:ascii="Symbol" w:hAnsi="Symbol" w:hint="default"/>
      </w:rPr>
    </w:lvl>
    <w:lvl w:ilvl="4" w:tplc="145EA6EA">
      <w:start w:val="1"/>
      <w:numFmt w:val="bullet"/>
      <w:lvlText w:val="o"/>
      <w:lvlJc w:val="left"/>
      <w:pPr>
        <w:ind w:left="3600" w:hanging="360"/>
      </w:pPr>
      <w:rPr>
        <w:rFonts w:ascii="Courier New" w:hAnsi="Courier New" w:hint="default"/>
      </w:rPr>
    </w:lvl>
    <w:lvl w:ilvl="5" w:tplc="D76AA75A">
      <w:start w:val="1"/>
      <w:numFmt w:val="bullet"/>
      <w:lvlText w:val=""/>
      <w:lvlJc w:val="left"/>
      <w:pPr>
        <w:ind w:left="4320" w:hanging="360"/>
      </w:pPr>
      <w:rPr>
        <w:rFonts w:ascii="Wingdings" w:hAnsi="Wingdings" w:hint="default"/>
      </w:rPr>
    </w:lvl>
    <w:lvl w:ilvl="6" w:tplc="D9729096">
      <w:start w:val="1"/>
      <w:numFmt w:val="bullet"/>
      <w:lvlText w:val=""/>
      <w:lvlJc w:val="left"/>
      <w:pPr>
        <w:ind w:left="5040" w:hanging="360"/>
      </w:pPr>
      <w:rPr>
        <w:rFonts w:ascii="Symbol" w:hAnsi="Symbol" w:hint="default"/>
      </w:rPr>
    </w:lvl>
    <w:lvl w:ilvl="7" w:tplc="74BA8446">
      <w:start w:val="1"/>
      <w:numFmt w:val="bullet"/>
      <w:lvlText w:val="o"/>
      <w:lvlJc w:val="left"/>
      <w:pPr>
        <w:ind w:left="5760" w:hanging="360"/>
      </w:pPr>
      <w:rPr>
        <w:rFonts w:ascii="Courier New" w:hAnsi="Courier New" w:hint="default"/>
      </w:rPr>
    </w:lvl>
    <w:lvl w:ilvl="8" w:tplc="1BB2DF70">
      <w:start w:val="1"/>
      <w:numFmt w:val="bullet"/>
      <w:lvlText w:val=""/>
      <w:lvlJc w:val="left"/>
      <w:pPr>
        <w:ind w:left="6480" w:hanging="360"/>
      </w:pPr>
      <w:rPr>
        <w:rFonts w:ascii="Wingdings" w:hAnsi="Wingdings" w:hint="default"/>
      </w:rPr>
    </w:lvl>
  </w:abstractNum>
  <w:abstractNum w:abstractNumId="63" w15:restartNumberingAfterBreak="0">
    <w:nsid w:val="6B2778DF"/>
    <w:multiLevelType w:val="hybridMultilevel"/>
    <w:tmpl w:val="D3D652EE"/>
    <w:lvl w:ilvl="0" w:tplc="01BAA68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BA9989A"/>
    <w:multiLevelType w:val="hybridMultilevel"/>
    <w:tmpl w:val="8A24EA92"/>
    <w:lvl w:ilvl="0" w:tplc="74649BA6">
      <w:start w:val="1"/>
      <w:numFmt w:val="bullet"/>
      <w:lvlText w:val=""/>
      <w:lvlJc w:val="left"/>
      <w:pPr>
        <w:ind w:left="720" w:hanging="360"/>
      </w:pPr>
      <w:rPr>
        <w:rFonts w:ascii="Symbol" w:hAnsi="Symbol" w:hint="default"/>
      </w:rPr>
    </w:lvl>
    <w:lvl w:ilvl="1" w:tplc="ACCEC5BA">
      <w:start w:val="1"/>
      <w:numFmt w:val="bullet"/>
      <w:lvlText w:val="o"/>
      <w:lvlJc w:val="left"/>
      <w:pPr>
        <w:ind w:left="1440" w:hanging="360"/>
      </w:pPr>
      <w:rPr>
        <w:rFonts w:ascii="Symbol" w:hAnsi="Symbol" w:hint="default"/>
      </w:rPr>
    </w:lvl>
    <w:lvl w:ilvl="2" w:tplc="01209A62">
      <w:start w:val="1"/>
      <w:numFmt w:val="bullet"/>
      <w:lvlText w:val=""/>
      <w:lvlJc w:val="left"/>
      <w:pPr>
        <w:ind w:left="2160" w:hanging="360"/>
      </w:pPr>
      <w:rPr>
        <w:rFonts w:ascii="Wingdings" w:hAnsi="Wingdings" w:hint="default"/>
      </w:rPr>
    </w:lvl>
    <w:lvl w:ilvl="3" w:tplc="29F28A2A">
      <w:start w:val="1"/>
      <w:numFmt w:val="bullet"/>
      <w:lvlText w:val=""/>
      <w:lvlJc w:val="left"/>
      <w:pPr>
        <w:ind w:left="2880" w:hanging="360"/>
      </w:pPr>
      <w:rPr>
        <w:rFonts w:ascii="Symbol" w:hAnsi="Symbol" w:hint="default"/>
      </w:rPr>
    </w:lvl>
    <w:lvl w:ilvl="4" w:tplc="03F66EF0">
      <w:start w:val="1"/>
      <w:numFmt w:val="bullet"/>
      <w:lvlText w:val="o"/>
      <w:lvlJc w:val="left"/>
      <w:pPr>
        <w:ind w:left="3600" w:hanging="360"/>
      </w:pPr>
      <w:rPr>
        <w:rFonts w:ascii="Courier New" w:hAnsi="Courier New" w:hint="default"/>
      </w:rPr>
    </w:lvl>
    <w:lvl w:ilvl="5" w:tplc="8DF47028">
      <w:start w:val="1"/>
      <w:numFmt w:val="bullet"/>
      <w:lvlText w:val=""/>
      <w:lvlJc w:val="left"/>
      <w:pPr>
        <w:ind w:left="4320" w:hanging="360"/>
      </w:pPr>
      <w:rPr>
        <w:rFonts w:ascii="Wingdings" w:hAnsi="Wingdings" w:hint="default"/>
      </w:rPr>
    </w:lvl>
    <w:lvl w:ilvl="6" w:tplc="3D9CE740">
      <w:start w:val="1"/>
      <w:numFmt w:val="bullet"/>
      <w:lvlText w:val=""/>
      <w:lvlJc w:val="left"/>
      <w:pPr>
        <w:ind w:left="5040" w:hanging="360"/>
      </w:pPr>
      <w:rPr>
        <w:rFonts w:ascii="Symbol" w:hAnsi="Symbol" w:hint="default"/>
      </w:rPr>
    </w:lvl>
    <w:lvl w:ilvl="7" w:tplc="17687524">
      <w:start w:val="1"/>
      <w:numFmt w:val="bullet"/>
      <w:lvlText w:val="o"/>
      <w:lvlJc w:val="left"/>
      <w:pPr>
        <w:ind w:left="5760" w:hanging="360"/>
      </w:pPr>
      <w:rPr>
        <w:rFonts w:ascii="Courier New" w:hAnsi="Courier New" w:hint="default"/>
      </w:rPr>
    </w:lvl>
    <w:lvl w:ilvl="8" w:tplc="7F5E9C3C">
      <w:start w:val="1"/>
      <w:numFmt w:val="bullet"/>
      <w:lvlText w:val=""/>
      <w:lvlJc w:val="left"/>
      <w:pPr>
        <w:ind w:left="6480" w:hanging="360"/>
      </w:pPr>
      <w:rPr>
        <w:rFonts w:ascii="Wingdings" w:hAnsi="Wingdings" w:hint="default"/>
      </w:rPr>
    </w:lvl>
  </w:abstractNum>
  <w:abstractNum w:abstractNumId="65" w15:restartNumberingAfterBreak="0">
    <w:nsid w:val="6BB66945"/>
    <w:multiLevelType w:val="hybridMultilevel"/>
    <w:tmpl w:val="94B2E114"/>
    <w:lvl w:ilvl="0" w:tplc="1720958E">
      <w:start w:val="1"/>
      <w:numFmt w:val="bullet"/>
      <w:pStyle w:val="ListBulle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6D78F9B4"/>
    <w:multiLevelType w:val="hybridMultilevel"/>
    <w:tmpl w:val="C94260EC"/>
    <w:lvl w:ilvl="0" w:tplc="C952D1B2">
      <w:start w:val="1"/>
      <w:numFmt w:val="bullet"/>
      <w:lvlText w:val=""/>
      <w:lvlJc w:val="left"/>
      <w:pPr>
        <w:ind w:left="720" w:hanging="360"/>
      </w:pPr>
      <w:rPr>
        <w:rFonts w:ascii="Symbol" w:hAnsi="Symbol" w:hint="default"/>
      </w:rPr>
    </w:lvl>
    <w:lvl w:ilvl="1" w:tplc="4FD2BF26">
      <w:start w:val="1"/>
      <w:numFmt w:val="bullet"/>
      <w:lvlText w:val="o"/>
      <w:lvlJc w:val="left"/>
      <w:pPr>
        <w:ind w:left="1440" w:hanging="360"/>
      </w:pPr>
      <w:rPr>
        <w:rFonts w:ascii="Courier New" w:hAnsi="Courier New" w:hint="default"/>
      </w:rPr>
    </w:lvl>
    <w:lvl w:ilvl="2" w:tplc="9E7A5C54">
      <w:start w:val="1"/>
      <w:numFmt w:val="bullet"/>
      <w:lvlText w:val=""/>
      <w:lvlJc w:val="left"/>
      <w:pPr>
        <w:ind w:left="2160" w:hanging="360"/>
      </w:pPr>
      <w:rPr>
        <w:rFonts w:ascii="Wingdings" w:hAnsi="Wingdings" w:hint="default"/>
      </w:rPr>
    </w:lvl>
    <w:lvl w:ilvl="3" w:tplc="8A964146">
      <w:start w:val="1"/>
      <w:numFmt w:val="bullet"/>
      <w:lvlText w:val=""/>
      <w:lvlJc w:val="left"/>
      <w:pPr>
        <w:ind w:left="2880" w:hanging="360"/>
      </w:pPr>
      <w:rPr>
        <w:rFonts w:ascii="Symbol" w:hAnsi="Symbol" w:hint="default"/>
      </w:rPr>
    </w:lvl>
    <w:lvl w:ilvl="4" w:tplc="9222A234">
      <w:start w:val="1"/>
      <w:numFmt w:val="bullet"/>
      <w:lvlText w:val="o"/>
      <w:lvlJc w:val="left"/>
      <w:pPr>
        <w:ind w:left="3600" w:hanging="360"/>
      </w:pPr>
      <w:rPr>
        <w:rFonts w:ascii="Courier New" w:hAnsi="Courier New" w:hint="default"/>
      </w:rPr>
    </w:lvl>
    <w:lvl w:ilvl="5" w:tplc="4618679A">
      <w:start w:val="1"/>
      <w:numFmt w:val="bullet"/>
      <w:lvlText w:val=""/>
      <w:lvlJc w:val="left"/>
      <w:pPr>
        <w:ind w:left="4320" w:hanging="360"/>
      </w:pPr>
      <w:rPr>
        <w:rFonts w:ascii="Wingdings" w:hAnsi="Wingdings" w:hint="default"/>
      </w:rPr>
    </w:lvl>
    <w:lvl w:ilvl="6" w:tplc="1D0C9C90">
      <w:start w:val="1"/>
      <w:numFmt w:val="bullet"/>
      <w:lvlText w:val=""/>
      <w:lvlJc w:val="left"/>
      <w:pPr>
        <w:ind w:left="5040" w:hanging="360"/>
      </w:pPr>
      <w:rPr>
        <w:rFonts w:ascii="Symbol" w:hAnsi="Symbol" w:hint="default"/>
      </w:rPr>
    </w:lvl>
    <w:lvl w:ilvl="7" w:tplc="BBB80C56">
      <w:start w:val="1"/>
      <w:numFmt w:val="bullet"/>
      <w:lvlText w:val="o"/>
      <w:lvlJc w:val="left"/>
      <w:pPr>
        <w:ind w:left="5760" w:hanging="360"/>
      </w:pPr>
      <w:rPr>
        <w:rFonts w:ascii="Courier New" w:hAnsi="Courier New" w:hint="default"/>
      </w:rPr>
    </w:lvl>
    <w:lvl w:ilvl="8" w:tplc="8B34C68A">
      <w:start w:val="1"/>
      <w:numFmt w:val="bullet"/>
      <w:lvlText w:val=""/>
      <w:lvlJc w:val="left"/>
      <w:pPr>
        <w:ind w:left="6480" w:hanging="360"/>
      </w:pPr>
      <w:rPr>
        <w:rFonts w:ascii="Wingdings" w:hAnsi="Wingdings" w:hint="default"/>
      </w:rPr>
    </w:lvl>
  </w:abstractNum>
  <w:abstractNum w:abstractNumId="67" w15:restartNumberingAfterBreak="0">
    <w:nsid w:val="6DAC3420"/>
    <w:multiLevelType w:val="hybridMultilevel"/>
    <w:tmpl w:val="C5CC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F7E1182"/>
    <w:multiLevelType w:val="singleLevel"/>
    <w:tmpl w:val="89CA9F96"/>
    <w:lvl w:ilvl="0">
      <w:start w:val="1"/>
      <w:numFmt w:val="bullet"/>
      <w:lvlText w:val=""/>
      <w:lvlJc w:val="left"/>
      <w:pPr>
        <w:tabs>
          <w:tab w:val="num" w:pos="360"/>
        </w:tabs>
        <w:ind w:left="360" w:hanging="360"/>
      </w:pPr>
      <w:rPr>
        <w:rFonts w:ascii="Symbol" w:hAnsi="Symbol" w:hint="default"/>
        <w:sz w:val="20"/>
      </w:rPr>
    </w:lvl>
  </w:abstractNum>
  <w:abstractNum w:abstractNumId="69" w15:restartNumberingAfterBreak="0">
    <w:nsid w:val="70066197"/>
    <w:multiLevelType w:val="multilevel"/>
    <w:tmpl w:val="3BE89FAE"/>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703D38F1"/>
    <w:multiLevelType w:val="hybridMultilevel"/>
    <w:tmpl w:val="232A7B96"/>
    <w:lvl w:ilvl="0" w:tplc="C9D215DA">
      <w:start w:val="1"/>
      <w:numFmt w:val="bullet"/>
      <w:lvlText w:val="·"/>
      <w:lvlJc w:val="left"/>
      <w:pPr>
        <w:ind w:left="720" w:hanging="360"/>
      </w:pPr>
      <w:rPr>
        <w:rFonts w:ascii="Symbol" w:hAnsi="Symbol" w:hint="default"/>
      </w:rPr>
    </w:lvl>
    <w:lvl w:ilvl="1" w:tplc="C874A52A">
      <w:start w:val="1"/>
      <w:numFmt w:val="bullet"/>
      <w:lvlText w:val="o"/>
      <w:lvlJc w:val="left"/>
      <w:pPr>
        <w:ind w:left="1440" w:hanging="360"/>
      </w:pPr>
      <w:rPr>
        <w:rFonts w:ascii="Courier New" w:hAnsi="Courier New" w:hint="default"/>
      </w:rPr>
    </w:lvl>
    <w:lvl w:ilvl="2" w:tplc="E7B232B4">
      <w:start w:val="1"/>
      <w:numFmt w:val="bullet"/>
      <w:lvlText w:val=""/>
      <w:lvlJc w:val="left"/>
      <w:pPr>
        <w:ind w:left="2160" w:hanging="360"/>
      </w:pPr>
      <w:rPr>
        <w:rFonts w:ascii="Wingdings" w:hAnsi="Wingdings" w:hint="default"/>
      </w:rPr>
    </w:lvl>
    <w:lvl w:ilvl="3" w:tplc="A5B49692">
      <w:start w:val="1"/>
      <w:numFmt w:val="bullet"/>
      <w:lvlText w:val=""/>
      <w:lvlJc w:val="left"/>
      <w:pPr>
        <w:ind w:left="2880" w:hanging="360"/>
      </w:pPr>
      <w:rPr>
        <w:rFonts w:ascii="Symbol" w:hAnsi="Symbol" w:hint="default"/>
      </w:rPr>
    </w:lvl>
    <w:lvl w:ilvl="4" w:tplc="D80E16EC">
      <w:start w:val="1"/>
      <w:numFmt w:val="bullet"/>
      <w:lvlText w:val="o"/>
      <w:lvlJc w:val="left"/>
      <w:pPr>
        <w:ind w:left="3600" w:hanging="360"/>
      </w:pPr>
      <w:rPr>
        <w:rFonts w:ascii="Courier New" w:hAnsi="Courier New" w:hint="default"/>
      </w:rPr>
    </w:lvl>
    <w:lvl w:ilvl="5" w:tplc="B2001A1A">
      <w:start w:val="1"/>
      <w:numFmt w:val="bullet"/>
      <w:lvlText w:val=""/>
      <w:lvlJc w:val="left"/>
      <w:pPr>
        <w:ind w:left="4320" w:hanging="360"/>
      </w:pPr>
      <w:rPr>
        <w:rFonts w:ascii="Wingdings" w:hAnsi="Wingdings" w:hint="default"/>
      </w:rPr>
    </w:lvl>
    <w:lvl w:ilvl="6" w:tplc="D1763EF8">
      <w:start w:val="1"/>
      <w:numFmt w:val="bullet"/>
      <w:lvlText w:val=""/>
      <w:lvlJc w:val="left"/>
      <w:pPr>
        <w:ind w:left="5040" w:hanging="360"/>
      </w:pPr>
      <w:rPr>
        <w:rFonts w:ascii="Symbol" w:hAnsi="Symbol" w:hint="default"/>
      </w:rPr>
    </w:lvl>
    <w:lvl w:ilvl="7" w:tplc="FFC61118">
      <w:start w:val="1"/>
      <w:numFmt w:val="bullet"/>
      <w:lvlText w:val="o"/>
      <w:lvlJc w:val="left"/>
      <w:pPr>
        <w:ind w:left="5760" w:hanging="360"/>
      </w:pPr>
      <w:rPr>
        <w:rFonts w:ascii="Courier New" w:hAnsi="Courier New" w:hint="default"/>
      </w:rPr>
    </w:lvl>
    <w:lvl w:ilvl="8" w:tplc="2646B294">
      <w:start w:val="1"/>
      <w:numFmt w:val="bullet"/>
      <w:lvlText w:val=""/>
      <w:lvlJc w:val="left"/>
      <w:pPr>
        <w:ind w:left="6480" w:hanging="360"/>
      </w:pPr>
      <w:rPr>
        <w:rFonts w:ascii="Wingdings" w:hAnsi="Wingdings" w:hint="default"/>
      </w:rPr>
    </w:lvl>
  </w:abstractNum>
  <w:abstractNum w:abstractNumId="71" w15:restartNumberingAfterBreak="0">
    <w:nsid w:val="7288D134"/>
    <w:multiLevelType w:val="hybridMultilevel"/>
    <w:tmpl w:val="6BE22CC6"/>
    <w:lvl w:ilvl="0" w:tplc="EEA25338">
      <w:start w:val="1"/>
      <w:numFmt w:val="bullet"/>
      <w:lvlText w:val=""/>
      <w:lvlJc w:val="left"/>
      <w:pPr>
        <w:ind w:left="720" w:hanging="360"/>
      </w:pPr>
      <w:rPr>
        <w:rFonts w:ascii="Symbol" w:hAnsi="Symbol" w:hint="default"/>
      </w:rPr>
    </w:lvl>
    <w:lvl w:ilvl="1" w:tplc="F7B201C8">
      <w:start w:val="1"/>
      <w:numFmt w:val="bullet"/>
      <w:lvlText w:val="o"/>
      <w:lvlJc w:val="left"/>
      <w:pPr>
        <w:ind w:left="1440" w:hanging="360"/>
      </w:pPr>
      <w:rPr>
        <w:rFonts w:ascii="Courier New" w:hAnsi="Courier New" w:hint="default"/>
      </w:rPr>
    </w:lvl>
    <w:lvl w:ilvl="2" w:tplc="B60EE788">
      <w:start w:val="1"/>
      <w:numFmt w:val="bullet"/>
      <w:lvlText w:val=""/>
      <w:lvlJc w:val="left"/>
      <w:pPr>
        <w:ind w:left="2160" w:hanging="360"/>
      </w:pPr>
      <w:rPr>
        <w:rFonts w:ascii="Wingdings" w:hAnsi="Wingdings" w:hint="default"/>
      </w:rPr>
    </w:lvl>
    <w:lvl w:ilvl="3" w:tplc="E7ECC4FE">
      <w:start w:val="1"/>
      <w:numFmt w:val="bullet"/>
      <w:lvlText w:val=""/>
      <w:lvlJc w:val="left"/>
      <w:pPr>
        <w:ind w:left="2880" w:hanging="360"/>
      </w:pPr>
      <w:rPr>
        <w:rFonts w:ascii="Symbol" w:hAnsi="Symbol" w:hint="default"/>
      </w:rPr>
    </w:lvl>
    <w:lvl w:ilvl="4" w:tplc="EE98C4B2">
      <w:start w:val="1"/>
      <w:numFmt w:val="bullet"/>
      <w:lvlText w:val="o"/>
      <w:lvlJc w:val="left"/>
      <w:pPr>
        <w:ind w:left="3600" w:hanging="360"/>
      </w:pPr>
      <w:rPr>
        <w:rFonts w:ascii="Courier New" w:hAnsi="Courier New" w:hint="default"/>
      </w:rPr>
    </w:lvl>
    <w:lvl w:ilvl="5" w:tplc="59F6A2BC">
      <w:start w:val="1"/>
      <w:numFmt w:val="bullet"/>
      <w:lvlText w:val=""/>
      <w:lvlJc w:val="left"/>
      <w:pPr>
        <w:ind w:left="4320" w:hanging="360"/>
      </w:pPr>
      <w:rPr>
        <w:rFonts w:ascii="Wingdings" w:hAnsi="Wingdings" w:hint="default"/>
      </w:rPr>
    </w:lvl>
    <w:lvl w:ilvl="6" w:tplc="B0B83760">
      <w:start w:val="1"/>
      <w:numFmt w:val="bullet"/>
      <w:lvlText w:val=""/>
      <w:lvlJc w:val="left"/>
      <w:pPr>
        <w:ind w:left="5040" w:hanging="360"/>
      </w:pPr>
      <w:rPr>
        <w:rFonts w:ascii="Symbol" w:hAnsi="Symbol" w:hint="default"/>
      </w:rPr>
    </w:lvl>
    <w:lvl w:ilvl="7" w:tplc="C7B63D80">
      <w:start w:val="1"/>
      <w:numFmt w:val="bullet"/>
      <w:lvlText w:val="o"/>
      <w:lvlJc w:val="left"/>
      <w:pPr>
        <w:ind w:left="5760" w:hanging="360"/>
      </w:pPr>
      <w:rPr>
        <w:rFonts w:ascii="Courier New" w:hAnsi="Courier New" w:hint="default"/>
      </w:rPr>
    </w:lvl>
    <w:lvl w:ilvl="8" w:tplc="AD22710E">
      <w:start w:val="1"/>
      <w:numFmt w:val="bullet"/>
      <w:lvlText w:val=""/>
      <w:lvlJc w:val="left"/>
      <w:pPr>
        <w:ind w:left="6480" w:hanging="360"/>
      </w:pPr>
      <w:rPr>
        <w:rFonts w:ascii="Wingdings" w:hAnsi="Wingdings" w:hint="default"/>
      </w:rPr>
    </w:lvl>
  </w:abstractNum>
  <w:abstractNum w:abstractNumId="72" w15:restartNumberingAfterBreak="0">
    <w:nsid w:val="731F30F9"/>
    <w:multiLevelType w:val="multilevel"/>
    <w:tmpl w:val="1662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3554DF4"/>
    <w:multiLevelType w:val="singleLevel"/>
    <w:tmpl w:val="EA5C7824"/>
    <w:lvl w:ilvl="0">
      <w:start w:val="1"/>
      <w:numFmt w:val="bullet"/>
      <w:lvlText w:val=""/>
      <w:lvlJc w:val="left"/>
      <w:pPr>
        <w:tabs>
          <w:tab w:val="num" w:pos="360"/>
        </w:tabs>
        <w:ind w:left="288" w:hanging="288"/>
      </w:pPr>
      <w:rPr>
        <w:rFonts w:ascii="Symbol" w:hAnsi="Symbol" w:hint="default"/>
      </w:rPr>
    </w:lvl>
  </w:abstractNum>
  <w:abstractNum w:abstractNumId="74" w15:restartNumberingAfterBreak="0">
    <w:nsid w:val="73BB25C2"/>
    <w:multiLevelType w:val="hybridMultilevel"/>
    <w:tmpl w:val="8C6CB1A0"/>
    <w:lvl w:ilvl="0" w:tplc="5A48DF02">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4332A33"/>
    <w:multiLevelType w:val="multilevel"/>
    <w:tmpl w:val="5F84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58A0CCC"/>
    <w:multiLevelType w:val="hybridMultilevel"/>
    <w:tmpl w:val="63E00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A4E46ED"/>
    <w:multiLevelType w:val="hybridMultilevel"/>
    <w:tmpl w:val="66705DB0"/>
    <w:lvl w:ilvl="0" w:tplc="04090001">
      <w:start w:val="1"/>
      <w:numFmt w:val="bullet"/>
      <w:lvlText w:val=""/>
      <w:lvlJc w:val="left"/>
      <w:pPr>
        <w:ind w:left="1860" w:hanging="360"/>
      </w:pPr>
      <w:rPr>
        <w:rFonts w:ascii="Symbol" w:hAnsi="Symbol" w:hint="default"/>
      </w:rPr>
    </w:lvl>
    <w:lvl w:ilvl="1" w:tplc="FFFFFFFF" w:tentative="1">
      <w:start w:val="1"/>
      <w:numFmt w:val="bullet"/>
      <w:lvlText w:val="o"/>
      <w:lvlJc w:val="left"/>
      <w:pPr>
        <w:ind w:left="2580" w:hanging="360"/>
      </w:pPr>
      <w:rPr>
        <w:rFonts w:ascii="Courier New" w:hAnsi="Courier New" w:cs="Courier New" w:hint="default"/>
      </w:rPr>
    </w:lvl>
    <w:lvl w:ilvl="2" w:tplc="FFFFFFFF" w:tentative="1">
      <w:start w:val="1"/>
      <w:numFmt w:val="bullet"/>
      <w:lvlText w:val=""/>
      <w:lvlJc w:val="left"/>
      <w:pPr>
        <w:ind w:left="3300" w:hanging="360"/>
      </w:pPr>
      <w:rPr>
        <w:rFonts w:ascii="Wingdings" w:hAnsi="Wingdings" w:hint="default"/>
      </w:rPr>
    </w:lvl>
    <w:lvl w:ilvl="3" w:tplc="FFFFFFFF" w:tentative="1">
      <w:start w:val="1"/>
      <w:numFmt w:val="bullet"/>
      <w:lvlText w:val=""/>
      <w:lvlJc w:val="left"/>
      <w:pPr>
        <w:ind w:left="4020" w:hanging="360"/>
      </w:pPr>
      <w:rPr>
        <w:rFonts w:ascii="Symbol" w:hAnsi="Symbol" w:hint="default"/>
      </w:rPr>
    </w:lvl>
    <w:lvl w:ilvl="4" w:tplc="FFFFFFFF" w:tentative="1">
      <w:start w:val="1"/>
      <w:numFmt w:val="bullet"/>
      <w:lvlText w:val="o"/>
      <w:lvlJc w:val="left"/>
      <w:pPr>
        <w:ind w:left="4740" w:hanging="360"/>
      </w:pPr>
      <w:rPr>
        <w:rFonts w:ascii="Courier New" w:hAnsi="Courier New" w:cs="Courier New" w:hint="default"/>
      </w:rPr>
    </w:lvl>
    <w:lvl w:ilvl="5" w:tplc="FFFFFFFF" w:tentative="1">
      <w:start w:val="1"/>
      <w:numFmt w:val="bullet"/>
      <w:lvlText w:val=""/>
      <w:lvlJc w:val="left"/>
      <w:pPr>
        <w:ind w:left="5460" w:hanging="360"/>
      </w:pPr>
      <w:rPr>
        <w:rFonts w:ascii="Wingdings" w:hAnsi="Wingdings" w:hint="default"/>
      </w:rPr>
    </w:lvl>
    <w:lvl w:ilvl="6" w:tplc="FFFFFFFF" w:tentative="1">
      <w:start w:val="1"/>
      <w:numFmt w:val="bullet"/>
      <w:lvlText w:val=""/>
      <w:lvlJc w:val="left"/>
      <w:pPr>
        <w:ind w:left="6180" w:hanging="360"/>
      </w:pPr>
      <w:rPr>
        <w:rFonts w:ascii="Symbol" w:hAnsi="Symbol" w:hint="default"/>
      </w:rPr>
    </w:lvl>
    <w:lvl w:ilvl="7" w:tplc="FFFFFFFF" w:tentative="1">
      <w:start w:val="1"/>
      <w:numFmt w:val="bullet"/>
      <w:lvlText w:val="o"/>
      <w:lvlJc w:val="left"/>
      <w:pPr>
        <w:ind w:left="6900" w:hanging="360"/>
      </w:pPr>
      <w:rPr>
        <w:rFonts w:ascii="Courier New" w:hAnsi="Courier New" w:cs="Courier New" w:hint="default"/>
      </w:rPr>
    </w:lvl>
    <w:lvl w:ilvl="8" w:tplc="FFFFFFFF" w:tentative="1">
      <w:start w:val="1"/>
      <w:numFmt w:val="bullet"/>
      <w:lvlText w:val=""/>
      <w:lvlJc w:val="left"/>
      <w:pPr>
        <w:ind w:left="7620" w:hanging="360"/>
      </w:pPr>
      <w:rPr>
        <w:rFonts w:ascii="Wingdings" w:hAnsi="Wingdings" w:hint="default"/>
      </w:rPr>
    </w:lvl>
  </w:abstractNum>
  <w:abstractNum w:abstractNumId="78" w15:restartNumberingAfterBreak="0">
    <w:nsid w:val="7C337A29"/>
    <w:multiLevelType w:val="multilevel"/>
    <w:tmpl w:val="483CB276"/>
    <w:styleLink w:val="CurrentList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FE25A11"/>
    <w:multiLevelType w:val="hybridMultilevel"/>
    <w:tmpl w:val="2F2E4D06"/>
    <w:lvl w:ilvl="0" w:tplc="1D3E255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9829467">
    <w:abstractNumId w:val="69"/>
  </w:num>
  <w:num w:numId="2" w16cid:durableId="680007844">
    <w:abstractNumId w:val="4"/>
  </w:num>
  <w:num w:numId="3" w16cid:durableId="1247374978">
    <w:abstractNumId w:val="13"/>
  </w:num>
  <w:num w:numId="4" w16cid:durableId="642581084">
    <w:abstractNumId w:val="17"/>
  </w:num>
  <w:num w:numId="5" w16cid:durableId="2080515787">
    <w:abstractNumId w:val="65"/>
  </w:num>
  <w:num w:numId="6" w16cid:durableId="488257021">
    <w:abstractNumId w:val="12"/>
  </w:num>
  <w:num w:numId="7" w16cid:durableId="1349528211">
    <w:abstractNumId w:val="22"/>
  </w:num>
  <w:num w:numId="8" w16cid:durableId="1409380711">
    <w:abstractNumId w:val="78"/>
  </w:num>
  <w:num w:numId="9" w16cid:durableId="1007292424">
    <w:abstractNumId w:val="35"/>
  </w:num>
  <w:num w:numId="10" w16cid:durableId="2100591367">
    <w:abstractNumId w:val="19"/>
  </w:num>
  <w:num w:numId="11" w16cid:durableId="489443921">
    <w:abstractNumId w:val="28"/>
  </w:num>
  <w:num w:numId="12" w16cid:durableId="389622458">
    <w:abstractNumId w:val="47"/>
  </w:num>
  <w:num w:numId="13" w16cid:durableId="445659343">
    <w:abstractNumId w:val="41"/>
  </w:num>
  <w:num w:numId="14" w16cid:durableId="665746918">
    <w:abstractNumId w:val="27"/>
  </w:num>
  <w:num w:numId="15" w16cid:durableId="1939633185">
    <w:abstractNumId w:val="20"/>
  </w:num>
  <w:num w:numId="16" w16cid:durableId="1260718456">
    <w:abstractNumId w:val="52"/>
  </w:num>
  <w:num w:numId="17" w16cid:durableId="185872315">
    <w:abstractNumId w:val="75"/>
  </w:num>
  <w:num w:numId="18" w16cid:durableId="1815633623">
    <w:abstractNumId w:val="55"/>
  </w:num>
  <w:num w:numId="19" w16cid:durableId="665673124">
    <w:abstractNumId w:val="31"/>
  </w:num>
  <w:num w:numId="20" w16cid:durableId="372930162">
    <w:abstractNumId w:val="34"/>
  </w:num>
  <w:num w:numId="21" w16cid:durableId="1409229083">
    <w:abstractNumId w:val="36"/>
  </w:num>
  <w:num w:numId="22" w16cid:durableId="50079815">
    <w:abstractNumId w:val="45"/>
  </w:num>
  <w:num w:numId="23" w16cid:durableId="669912426">
    <w:abstractNumId w:val="63"/>
  </w:num>
  <w:num w:numId="24" w16cid:durableId="1388142345">
    <w:abstractNumId w:val="7"/>
  </w:num>
  <w:num w:numId="25" w16cid:durableId="1277709829">
    <w:abstractNumId w:val="14"/>
  </w:num>
  <w:num w:numId="26" w16cid:durableId="570114435">
    <w:abstractNumId w:val="8"/>
  </w:num>
  <w:num w:numId="27" w16cid:durableId="1995791151">
    <w:abstractNumId w:val="33"/>
  </w:num>
  <w:num w:numId="28" w16cid:durableId="367878196">
    <w:abstractNumId w:val="62"/>
  </w:num>
  <w:num w:numId="29" w16cid:durableId="1732268319">
    <w:abstractNumId w:val="70"/>
  </w:num>
  <w:num w:numId="30" w16cid:durableId="2117870939">
    <w:abstractNumId w:val="15"/>
  </w:num>
  <w:num w:numId="31" w16cid:durableId="1783108315">
    <w:abstractNumId w:val="24"/>
  </w:num>
  <w:num w:numId="32" w16cid:durableId="711341337">
    <w:abstractNumId w:val="39"/>
  </w:num>
  <w:num w:numId="33" w16cid:durableId="206842649">
    <w:abstractNumId w:val="16"/>
  </w:num>
  <w:num w:numId="34" w16cid:durableId="768620677">
    <w:abstractNumId w:val="60"/>
  </w:num>
  <w:num w:numId="35" w16cid:durableId="309093127">
    <w:abstractNumId w:val="49"/>
  </w:num>
  <w:num w:numId="36" w16cid:durableId="1114860494">
    <w:abstractNumId w:val="43"/>
  </w:num>
  <w:num w:numId="37" w16cid:durableId="425926212">
    <w:abstractNumId w:val="48"/>
  </w:num>
  <w:num w:numId="38" w16cid:durableId="1628583639">
    <w:abstractNumId w:val="9"/>
  </w:num>
  <w:num w:numId="39" w16cid:durableId="375399273">
    <w:abstractNumId w:val="71"/>
  </w:num>
  <w:num w:numId="40" w16cid:durableId="605844520">
    <w:abstractNumId w:val="30"/>
  </w:num>
  <w:num w:numId="41" w16cid:durableId="803700485">
    <w:abstractNumId w:val="66"/>
  </w:num>
  <w:num w:numId="42" w16cid:durableId="1337416696">
    <w:abstractNumId w:val="5"/>
  </w:num>
  <w:num w:numId="43" w16cid:durableId="778330655">
    <w:abstractNumId w:val="64"/>
  </w:num>
  <w:num w:numId="44" w16cid:durableId="837310694">
    <w:abstractNumId w:val="3"/>
  </w:num>
  <w:num w:numId="45" w16cid:durableId="704334001">
    <w:abstractNumId w:val="54"/>
  </w:num>
  <w:num w:numId="46" w16cid:durableId="863060077">
    <w:abstractNumId w:val="21"/>
  </w:num>
  <w:num w:numId="47" w16cid:durableId="1506676542">
    <w:abstractNumId w:val="58"/>
  </w:num>
  <w:num w:numId="48" w16cid:durableId="841168957">
    <w:abstractNumId w:val="73"/>
  </w:num>
  <w:num w:numId="49" w16cid:durableId="813067273">
    <w:abstractNumId w:val="46"/>
  </w:num>
  <w:num w:numId="50" w16cid:durableId="1064570805">
    <w:abstractNumId w:val="37"/>
  </w:num>
  <w:num w:numId="51" w16cid:durableId="1298758195">
    <w:abstractNumId w:val="18"/>
  </w:num>
  <w:num w:numId="52" w16cid:durableId="403187060">
    <w:abstractNumId w:val="50"/>
  </w:num>
  <w:num w:numId="53" w16cid:durableId="704600220">
    <w:abstractNumId w:val="51"/>
  </w:num>
  <w:num w:numId="54" w16cid:durableId="1298997960">
    <w:abstractNumId w:val="38"/>
  </w:num>
  <w:num w:numId="55" w16cid:durableId="69890956">
    <w:abstractNumId w:val="44"/>
  </w:num>
  <w:num w:numId="56" w16cid:durableId="1717200943">
    <w:abstractNumId w:val="56"/>
  </w:num>
  <w:num w:numId="57" w16cid:durableId="825829276">
    <w:abstractNumId w:val="11"/>
  </w:num>
  <w:num w:numId="58" w16cid:durableId="1820072504">
    <w:abstractNumId w:val="76"/>
  </w:num>
  <w:num w:numId="59" w16cid:durableId="1238975980">
    <w:abstractNumId w:val="23"/>
  </w:num>
  <w:num w:numId="60" w16cid:durableId="1343430564">
    <w:abstractNumId w:val="68"/>
  </w:num>
  <w:num w:numId="61" w16cid:durableId="691611236">
    <w:abstractNumId w:val="72"/>
  </w:num>
  <w:num w:numId="62" w16cid:durableId="650987170">
    <w:abstractNumId w:val="59"/>
  </w:num>
  <w:num w:numId="63" w16cid:durableId="143934710">
    <w:abstractNumId w:val="53"/>
  </w:num>
  <w:num w:numId="64" w16cid:durableId="1519389654">
    <w:abstractNumId w:val="40"/>
  </w:num>
  <w:num w:numId="65" w16cid:durableId="1600944629">
    <w:abstractNumId w:val="1"/>
  </w:num>
  <w:num w:numId="66" w16cid:durableId="1306006128">
    <w:abstractNumId w:val="74"/>
  </w:num>
  <w:num w:numId="67" w16cid:durableId="561016834">
    <w:abstractNumId w:val="42"/>
  </w:num>
  <w:num w:numId="68" w16cid:durableId="416247720">
    <w:abstractNumId w:val="57"/>
  </w:num>
  <w:num w:numId="69" w16cid:durableId="347295510">
    <w:abstractNumId w:val="10"/>
  </w:num>
  <w:num w:numId="70" w16cid:durableId="1423717371">
    <w:abstractNumId w:val="29"/>
  </w:num>
  <w:num w:numId="71" w16cid:durableId="1863855327">
    <w:abstractNumId w:val="26"/>
  </w:num>
  <w:num w:numId="72" w16cid:durableId="1308822728">
    <w:abstractNumId w:val="6"/>
  </w:num>
  <w:num w:numId="73" w16cid:durableId="768083455">
    <w:abstractNumId w:val="25"/>
  </w:num>
  <w:num w:numId="74" w16cid:durableId="985427941">
    <w:abstractNumId w:val="61"/>
  </w:num>
  <w:num w:numId="75" w16cid:durableId="2017615904">
    <w:abstractNumId w:val="79"/>
  </w:num>
  <w:num w:numId="76" w16cid:durableId="1760715809">
    <w:abstractNumId w:val="2"/>
  </w:num>
  <w:num w:numId="77" w16cid:durableId="659114840">
    <w:abstractNumId w:val="32"/>
  </w:num>
  <w:num w:numId="78" w16cid:durableId="1739939114">
    <w:abstractNumId w:val="67"/>
  </w:num>
  <w:num w:numId="79" w16cid:durableId="1192914405">
    <w:abstractNumId w:val="77"/>
  </w:num>
  <w:num w:numId="80" w16cid:durableId="1422219530">
    <w:abstractNumId w:val="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edit="readOnly" w:enforcement="1" w:cryptProviderType="rsaAES" w:cryptAlgorithmClass="hash" w:cryptAlgorithmType="typeAny" w:cryptAlgorithmSid="14" w:cryptSpinCount="100000" w:hash="/SQIe1rpBFk7NvKiOfjSxhZakKHQJcC40EzOGnNeRMqjDLWnCwGZBEkHjCApsg3JBznntshGky2k+UpiZ1sAfQ==" w:salt="9i+UjilIZ7qXcVBU6QjjJ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72E"/>
    <w:rsid w:val="000002BA"/>
    <w:rsid w:val="00000729"/>
    <w:rsid w:val="00000B75"/>
    <w:rsid w:val="00001C12"/>
    <w:rsid w:val="00001C8F"/>
    <w:rsid w:val="00002101"/>
    <w:rsid w:val="00002246"/>
    <w:rsid w:val="000022BA"/>
    <w:rsid w:val="00002B73"/>
    <w:rsid w:val="000034EB"/>
    <w:rsid w:val="000037ED"/>
    <w:rsid w:val="00003B6B"/>
    <w:rsid w:val="00004DE5"/>
    <w:rsid w:val="000050F5"/>
    <w:rsid w:val="00005F72"/>
    <w:rsid w:val="00006B05"/>
    <w:rsid w:val="000071C7"/>
    <w:rsid w:val="000071F7"/>
    <w:rsid w:val="00007783"/>
    <w:rsid w:val="000079AE"/>
    <w:rsid w:val="000079F5"/>
    <w:rsid w:val="00007D60"/>
    <w:rsid w:val="00010375"/>
    <w:rsid w:val="000105B7"/>
    <w:rsid w:val="00010E01"/>
    <w:rsid w:val="00011A4A"/>
    <w:rsid w:val="0001235E"/>
    <w:rsid w:val="00012A4E"/>
    <w:rsid w:val="000130A1"/>
    <w:rsid w:val="00013188"/>
    <w:rsid w:val="0001483C"/>
    <w:rsid w:val="000157B0"/>
    <w:rsid w:val="000164BF"/>
    <w:rsid w:val="0002013E"/>
    <w:rsid w:val="000201E7"/>
    <w:rsid w:val="00020512"/>
    <w:rsid w:val="00020EEF"/>
    <w:rsid w:val="00020FD7"/>
    <w:rsid w:val="00021348"/>
    <w:rsid w:val="00021D0B"/>
    <w:rsid w:val="0002207A"/>
    <w:rsid w:val="000224F8"/>
    <w:rsid w:val="000229BA"/>
    <w:rsid w:val="00022A92"/>
    <w:rsid w:val="00022CE9"/>
    <w:rsid w:val="00022D18"/>
    <w:rsid w:val="00023224"/>
    <w:rsid w:val="00023560"/>
    <w:rsid w:val="00023626"/>
    <w:rsid w:val="000246AB"/>
    <w:rsid w:val="00025735"/>
    <w:rsid w:val="00025F4B"/>
    <w:rsid w:val="00026434"/>
    <w:rsid w:val="00026480"/>
    <w:rsid w:val="00027449"/>
    <w:rsid w:val="00027A33"/>
    <w:rsid w:val="00027DCF"/>
    <w:rsid w:val="00027FCD"/>
    <w:rsid w:val="00030202"/>
    <w:rsid w:val="00030818"/>
    <w:rsid w:val="00030C7C"/>
    <w:rsid w:val="00030DC0"/>
    <w:rsid w:val="00030F59"/>
    <w:rsid w:val="00032FCA"/>
    <w:rsid w:val="00033749"/>
    <w:rsid w:val="00033F58"/>
    <w:rsid w:val="00033F6B"/>
    <w:rsid w:val="000340D5"/>
    <w:rsid w:val="0003444A"/>
    <w:rsid w:val="000349C8"/>
    <w:rsid w:val="00034E17"/>
    <w:rsid w:val="00035041"/>
    <w:rsid w:val="0003516C"/>
    <w:rsid w:val="00035914"/>
    <w:rsid w:val="000361D8"/>
    <w:rsid w:val="000364B3"/>
    <w:rsid w:val="00036E28"/>
    <w:rsid w:val="000377BB"/>
    <w:rsid w:val="00037A65"/>
    <w:rsid w:val="0004003B"/>
    <w:rsid w:val="0004015F"/>
    <w:rsid w:val="00040282"/>
    <w:rsid w:val="00040C15"/>
    <w:rsid w:val="00041583"/>
    <w:rsid w:val="000416BE"/>
    <w:rsid w:val="00041D19"/>
    <w:rsid w:val="00041FA5"/>
    <w:rsid w:val="00042609"/>
    <w:rsid w:val="00043070"/>
    <w:rsid w:val="00043474"/>
    <w:rsid w:val="00043590"/>
    <w:rsid w:val="000443C6"/>
    <w:rsid w:val="000447EE"/>
    <w:rsid w:val="0004486B"/>
    <w:rsid w:val="00044AE2"/>
    <w:rsid w:val="00044DE9"/>
    <w:rsid w:val="00044E4E"/>
    <w:rsid w:val="0004524C"/>
    <w:rsid w:val="00045562"/>
    <w:rsid w:val="000458CB"/>
    <w:rsid w:val="00045D5B"/>
    <w:rsid w:val="000466EA"/>
    <w:rsid w:val="000468B6"/>
    <w:rsid w:val="00046C92"/>
    <w:rsid w:val="00046D4A"/>
    <w:rsid w:val="00046E1B"/>
    <w:rsid w:val="000477DF"/>
    <w:rsid w:val="000477F2"/>
    <w:rsid w:val="00047B66"/>
    <w:rsid w:val="00050350"/>
    <w:rsid w:val="0005187F"/>
    <w:rsid w:val="0005193E"/>
    <w:rsid w:val="000520CF"/>
    <w:rsid w:val="000528DC"/>
    <w:rsid w:val="00052E45"/>
    <w:rsid w:val="00053344"/>
    <w:rsid w:val="00053EA1"/>
    <w:rsid w:val="000545C1"/>
    <w:rsid w:val="00054B24"/>
    <w:rsid w:val="00054BA8"/>
    <w:rsid w:val="00054F46"/>
    <w:rsid w:val="00055256"/>
    <w:rsid w:val="00055369"/>
    <w:rsid w:val="00055528"/>
    <w:rsid w:val="000559A3"/>
    <w:rsid w:val="000559B0"/>
    <w:rsid w:val="00055BAA"/>
    <w:rsid w:val="00055CF8"/>
    <w:rsid w:val="00055FE0"/>
    <w:rsid w:val="0005698E"/>
    <w:rsid w:val="000575BE"/>
    <w:rsid w:val="00057E12"/>
    <w:rsid w:val="00060B69"/>
    <w:rsid w:val="00060BE0"/>
    <w:rsid w:val="00060FCE"/>
    <w:rsid w:val="000625CB"/>
    <w:rsid w:val="0006291F"/>
    <w:rsid w:val="00062BB7"/>
    <w:rsid w:val="00064272"/>
    <w:rsid w:val="0006591E"/>
    <w:rsid w:val="00066610"/>
    <w:rsid w:val="00066D21"/>
    <w:rsid w:val="00067706"/>
    <w:rsid w:val="000678E2"/>
    <w:rsid w:val="0007036A"/>
    <w:rsid w:val="00070412"/>
    <w:rsid w:val="000704FD"/>
    <w:rsid w:val="00070847"/>
    <w:rsid w:val="000715A7"/>
    <w:rsid w:val="000718ED"/>
    <w:rsid w:val="00072143"/>
    <w:rsid w:val="00072866"/>
    <w:rsid w:val="00072BDA"/>
    <w:rsid w:val="000730B2"/>
    <w:rsid w:val="00073A98"/>
    <w:rsid w:val="00073AA6"/>
    <w:rsid w:val="00073D27"/>
    <w:rsid w:val="00073E5C"/>
    <w:rsid w:val="000747BD"/>
    <w:rsid w:val="00074F17"/>
    <w:rsid w:val="0007613F"/>
    <w:rsid w:val="0007637B"/>
    <w:rsid w:val="0007656A"/>
    <w:rsid w:val="000765E0"/>
    <w:rsid w:val="00076B6C"/>
    <w:rsid w:val="000770A4"/>
    <w:rsid w:val="00080500"/>
    <w:rsid w:val="000805EA"/>
    <w:rsid w:val="00080942"/>
    <w:rsid w:val="00080B6C"/>
    <w:rsid w:val="000817CB"/>
    <w:rsid w:val="00081820"/>
    <w:rsid w:val="00082B52"/>
    <w:rsid w:val="00082B71"/>
    <w:rsid w:val="00082C8F"/>
    <w:rsid w:val="00082F44"/>
    <w:rsid w:val="00083162"/>
    <w:rsid w:val="0008317E"/>
    <w:rsid w:val="000836FC"/>
    <w:rsid w:val="000837DC"/>
    <w:rsid w:val="0008391E"/>
    <w:rsid w:val="00083AF0"/>
    <w:rsid w:val="00083BFF"/>
    <w:rsid w:val="000840AB"/>
    <w:rsid w:val="00084E33"/>
    <w:rsid w:val="000852F2"/>
    <w:rsid w:val="00085B91"/>
    <w:rsid w:val="00085EDB"/>
    <w:rsid w:val="00086522"/>
    <w:rsid w:val="00086F91"/>
    <w:rsid w:val="00087861"/>
    <w:rsid w:val="00087E34"/>
    <w:rsid w:val="00087F62"/>
    <w:rsid w:val="00090141"/>
    <w:rsid w:val="000901A1"/>
    <w:rsid w:val="00090A5E"/>
    <w:rsid w:val="00090D05"/>
    <w:rsid w:val="00090DF9"/>
    <w:rsid w:val="00091000"/>
    <w:rsid w:val="00091470"/>
    <w:rsid w:val="0009149A"/>
    <w:rsid w:val="000914D0"/>
    <w:rsid w:val="00091651"/>
    <w:rsid w:val="00091A2E"/>
    <w:rsid w:val="00091ABE"/>
    <w:rsid w:val="00091ADB"/>
    <w:rsid w:val="00091B6F"/>
    <w:rsid w:val="00091CEF"/>
    <w:rsid w:val="00092646"/>
    <w:rsid w:val="000927F9"/>
    <w:rsid w:val="00092F15"/>
    <w:rsid w:val="00093E89"/>
    <w:rsid w:val="00093EBA"/>
    <w:rsid w:val="00094C38"/>
    <w:rsid w:val="00095135"/>
    <w:rsid w:val="000957BC"/>
    <w:rsid w:val="00096023"/>
    <w:rsid w:val="0009618A"/>
    <w:rsid w:val="000965D8"/>
    <w:rsid w:val="0009664B"/>
    <w:rsid w:val="0009692F"/>
    <w:rsid w:val="00097150"/>
    <w:rsid w:val="00097D53"/>
    <w:rsid w:val="000A0556"/>
    <w:rsid w:val="000A0E4C"/>
    <w:rsid w:val="000A10A0"/>
    <w:rsid w:val="000A143E"/>
    <w:rsid w:val="000A1665"/>
    <w:rsid w:val="000A17D7"/>
    <w:rsid w:val="000A33F6"/>
    <w:rsid w:val="000A355A"/>
    <w:rsid w:val="000A39AB"/>
    <w:rsid w:val="000A3E69"/>
    <w:rsid w:val="000A3F05"/>
    <w:rsid w:val="000A40A5"/>
    <w:rsid w:val="000A43C0"/>
    <w:rsid w:val="000A4470"/>
    <w:rsid w:val="000A4563"/>
    <w:rsid w:val="000A4AB1"/>
    <w:rsid w:val="000A4E28"/>
    <w:rsid w:val="000A51A0"/>
    <w:rsid w:val="000A61CB"/>
    <w:rsid w:val="000A62F9"/>
    <w:rsid w:val="000A6378"/>
    <w:rsid w:val="000A6433"/>
    <w:rsid w:val="000A6A7C"/>
    <w:rsid w:val="000A6E60"/>
    <w:rsid w:val="000A6EF8"/>
    <w:rsid w:val="000A6F9B"/>
    <w:rsid w:val="000A7216"/>
    <w:rsid w:val="000A7878"/>
    <w:rsid w:val="000A7F6F"/>
    <w:rsid w:val="000B0149"/>
    <w:rsid w:val="000B04ED"/>
    <w:rsid w:val="000B07CD"/>
    <w:rsid w:val="000B08DA"/>
    <w:rsid w:val="000B093B"/>
    <w:rsid w:val="000B126A"/>
    <w:rsid w:val="000B135A"/>
    <w:rsid w:val="000B18F0"/>
    <w:rsid w:val="000B1F15"/>
    <w:rsid w:val="000B28C2"/>
    <w:rsid w:val="000B2ED2"/>
    <w:rsid w:val="000B3575"/>
    <w:rsid w:val="000B3ACF"/>
    <w:rsid w:val="000B3E45"/>
    <w:rsid w:val="000B3ED4"/>
    <w:rsid w:val="000B51E4"/>
    <w:rsid w:val="000B5236"/>
    <w:rsid w:val="000B53B8"/>
    <w:rsid w:val="000B5861"/>
    <w:rsid w:val="000B59AD"/>
    <w:rsid w:val="000B5D46"/>
    <w:rsid w:val="000B5FE0"/>
    <w:rsid w:val="000B669C"/>
    <w:rsid w:val="000B6ADA"/>
    <w:rsid w:val="000B6CEA"/>
    <w:rsid w:val="000B7060"/>
    <w:rsid w:val="000B7249"/>
    <w:rsid w:val="000B7398"/>
    <w:rsid w:val="000B73C7"/>
    <w:rsid w:val="000B74F8"/>
    <w:rsid w:val="000B7640"/>
    <w:rsid w:val="000B7D0C"/>
    <w:rsid w:val="000C00F3"/>
    <w:rsid w:val="000C010D"/>
    <w:rsid w:val="000C0224"/>
    <w:rsid w:val="000C0320"/>
    <w:rsid w:val="000C0755"/>
    <w:rsid w:val="000C0B5F"/>
    <w:rsid w:val="000C0E81"/>
    <w:rsid w:val="000C0EB4"/>
    <w:rsid w:val="000C0F50"/>
    <w:rsid w:val="000C123D"/>
    <w:rsid w:val="000C13A4"/>
    <w:rsid w:val="000C179E"/>
    <w:rsid w:val="000C1E18"/>
    <w:rsid w:val="000C207C"/>
    <w:rsid w:val="000C24EF"/>
    <w:rsid w:val="000C24F6"/>
    <w:rsid w:val="000C2871"/>
    <w:rsid w:val="000C2C81"/>
    <w:rsid w:val="000C2CA4"/>
    <w:rsid w:val="000C3B14"/>
    <w:rsid w:val="000C45A8"/>
    <w:rsid w:val="000C4615"/>
    <w:rsid w:val="000C4952"/>
    <w:rsid w:val="000C4E77"/>
    <w:rsid w:val="000C5163"/>
    <w:rsid w:val="000C5F17"/>
    <w:rsid w:val="000C64B5"/>
    <w:rsid w:val="000C660F"/>
    <w:rsid w:val="000C6806"/>
    <w:rsid w:val="000C6C19"/>
    <w:rsid w:val="000C6E20"/>
    <w:rsid w:val="000C6F9D"/>
    <w:rsid w:val="000C7106"/>
    <w:rsid w:val="000C7419"/>
    <w:rsid w:val="000C7C29"/>
    <w:rsid w:val="000D0539"/>
    <w:rsid w:val="000D11BA"/>
    <w:rsid w:val="000D13F6"/>
    <w:rsid w:val="000D1C12"/>
    <w:rsid w:val="000D1DBB"/>
    <w:rsid w:val="000D2464"/>
    <w:rsid w:val="000D24A6"/>
    <w:rsid w:val="000D2754"/>
    <w:rsid w:val="000D29E2"/>
    <w:rsid w:val="000D2DE4"/>
    <w:rsid w:val="000D2FD2"/>
    <w:rsid w:val="000D3079"/>
    <w:rsid w:val="000D3139"/>
    <w:rsid w:val="000D359C"/>
    <w:rsid w:val="000D38D2"/>
    <w:rsid w:val="000D3F39"/>
    <w:rsid w:val="000D463C"/>
    <w:rsid w:val="000D48E7"/>
    <w:rsid w:val="000D4994"/>
    <w:rsid w:val="000D4F21"/>
    <w:rsid w:val="000D56C2"/>
    <w:rsid w:val="000D57B2"/>
    <w:rsid w:val="000D5ECE"/>
    <w:rsid w:val="000D6A34"/>
    <w:rsid w:val="000D751A"/>
    <w:rsid w:val="000D7619"/>
    <w:rsid w:val="000E0617"/>
    <w:rsid w:val="000E1954"/>
    <w:rsid w:val="000E1FD4"/>
    <w:rsid w:val="000E2430"/>
    <w:rsid w:val="000E33AF"/>
    <w:rsid w:val="000E34F5"/>
    <w:rsid w:val="000E376C"/>
    <w:rsid w:val="000E40CB"/>
    <w:rsid w:val="000E43D9"/>
    <w:rsid w:val="000E45BF"/>
    <w:rsid w:val="000E4725"/>
    <w:rsid w:val="000E4B80"/>
    <w:rsid w:val="000E4EF0"/>
    <w:rsid w:val="000E4F80"/>
    <w:rsid w:val="000E52B7"/>
    <w:rsid w:val="000E55B4"/>
    <w:rsid w:val="000E5EED"/>
    <w:rsid w:val="000E68F1"/>
    <w:rsid w:val="000E6FD5"/>
    <w:rsid w:val="000E7CCE"/>
    <w:rsid w:val="000F021E"/>
    <w:rsid w:val="000F03EA"/>
    <w:rsid w:val="000F0B2A"/>
    <w:rsid w:val="000F1105"/>
    <w:rsid w:val="000F2441"/>
    <w:rsid w:val="000F2609"/>
    <w:rsid w:val="000F261B"/>
    <w:rsid w:val="000F2906"/>
    <w:rsid w:val="000F2ADE"/>
    <w:rsid w:val="000F2B6B"/>
    <w:rsid w:val="000F2C06"/>
    <w:rsid w:val="000F2C45"/>
    <w:rsid w:val="000F2D45"/>
    <w:rsid w:val="000F2EC2"/>
    <w:rsid w:val="000F2ED5"/>
    <w:rsid w:val="000F35BF"/>
    <w:rsid w:val="000F3923"/>
    <w:rsid w:val="000F3AF0"/>
    <w:rsid w:val="000F3CAC"/>
    <w:rsid w:val="000F3EA0"/>
    <w:rsid w:val="000F456B"/>
    <w:rsid w:val="000F4607"/>
    <w:rsid w:val="000F51F7"/>
    <w:rsid w:val="000F5FBE"/>
    <w:rsid w:val="000F6452"/>
    <w:rsid w:val="000F691E"/>
    <w:rsid w:val="000F71FB"/>
    <w:rsid w:val="000F72A3"/>
    <w:rsid w:val="000F7843"/>
    <w:rsid w:val="000F7D28"/>
    <w:rsid w:val="000F7DC5"/>
    <w:rsid w:val="000F7F0F"/>
    <w:rsid w:val="00100029"/>
    <w:rsid w:val="00100085"/>
    <w:rsid w:val="00100B50"/>
    <w:rsid w:val="00100B67"/>
    <w:rsid w:val="001012F1"/>
    <w:rsid w:val="001017BD"/>
    <w:rsid w:val="00101A21"/>
    <w:rsid w:val="00101B30"/>
    <w:rsid w:val="00101C2C"/>
    <w:rsid w:val="00101EFA"/>
    <w:rsid w:val="00101F35"/>
    <w:rsid w:val="001020B5"/>
    <w:rsid w:val="001020E3"/>
    <w:rsid w:val="00102E8A"/>
    <w:rsid w:val="00102E9B"/>
    <w:rsid w:val="00102FA9"/>
    <w:rsid w:val="00103A3E"/>
    <w:rsid w:val="00103F2C"/>
    <w:rsid w:val="001043BC"/>
    <w:rsid w:val="0010508B"/>
    <w:rsid w:val="00105A1F"/>
    <w:rsid w:val="00105F57"/>
    <w:rsid w:val="00106380"/>
    <w:rsid w:val="00106417"/>
    <w:rsid w:val="0010660C"/>
    <w:rsid w:val="00106843"/>
    <w:rsid w:val="00106A3B"/>
    <w:rsid w:val="00107137"/>
    <w:rsid w:val="001072C7"/>
    <w:rsid w:val="00107569"/>
    <w:rsid w:val="00107850"/>
    <w:rsid w:val="001103E2"/>
    <w:rsid w:val="00110A7C"/>
    <w:rsid w:val="00110BC6"/>
    <w:rsid w:val="00110C9B"/>
    <w:rsid w:val="00110F2E"/>
    <w:rsid w:val="00111189"/>
    <w:rsid w:val="0011192D"/>
    <w:rsid w:val="0011249E"/>
    <w:rsid w:val="00113071"/>
    <w:rsid w:val="0011365A"/>
    <w:rsid w:val="00113BDE"/>
    <w:rsid w:val="00113C40"/>
    <w:rsid w:val="00114041"/>
    <w:rsid w:val="00114073"/>
    <w:rsid w:val="00114C2B"/>
    <w:rsid w:val="00115027"/>
    <w:rsid w:val="001154DA"/>
    <w:rsid w:val="0011553B"/>
    <w:rsid w:val="0011560F"/>
    <w:rsid w:val="00116C68"/>
    <w:rsid w:val="00116FAF"/>
    <w:rsid w:val="001173DF"/>
    <w:rsid w:val="0012034B"/>
    <w:rsid w:val="001204A3"/>
    <w:rsid w:val="001205C2"/>
    <w:rsid w:val="001205FC"/>
    <w:rsid w:val="001205FF"/>
    <w:rsid w:val="001221DB"/>
    <w:rsid w:val="00122A7D"/>
    <w:rsid w:val="00122B2E"/>
    <w:rsid w:val="00122B43"/>
    <w:rsid w:val="00122CAE"/>
    <w:rsid w:val="0012376D"/>
    <w:rsid w:val="00123B4D"/>
    <w:rsid w:val="00123BE7"/>
    <w:rsid w:val="00123E1C"/>
    <w:rsid w:val="001242CB"/>
    <w:rsid w:val="001248AD"/>
    <w:rsid w:val="00124B73"/>
    <w:rsid w:val="00124FE9"/>
    <w:rsid w:val="001255D1"/>
    <w:rsid w:val="00125756"/>
    <w:rsid w:val="00125A50"/>
    <w:rsid w:val="00125AFB"/>
    <w:rsid w:val="00125EF0"/>
    <w:rsid w:val="001265CE"/>
    <w:rsid w:val="00126968"/>
    <w:rsid w:val="001274A0"/>
    <w:rsid w:val="00127733"/>
    <w:rsid w:val="00130622"/>
    <w:rsid w:val="0013063A"/>
    <w:rsid w:val="00130D67"/>
    <w:rsid w:val="0013131D"/>
    <w:rsid w:val="001319A6"/>
    <w:rsid w:val="00131A99"/>
    <w:rsid w:val="00131ABB"/>
    <w:rsid w:val="0013248F"/>
    <w:rsid w:val="00132975"/>
    <w:rsid w:val="00132CBF"/>
    <w:rsid w:val="00132CD1"/>
    <w:rsid w:val="00133457"/>
    <w:rsid w:val="00133794"/>
    <w:rsid w:val="00133B1A"/>
    <w:rsid w:val="00134E49"/>
    <w:rsid w:val="001351BE"/>
    <w:rsid w:val="0013534A"/>
    <w:rsid w:val="00135CC0"/>
    <w:rsid w:val="00135FAB"/>
    <w:rsid w:val="0013697A"/>
    <w:rsid w:val="00137716"/>
    <w:rsid w:val="00137D67"/>
    <w:rsid w:val="00137DD9"/>
    <w:rsid w:val="0014012E"/>
    <w:rsid w:val="00140F0B"/>
    <w:rsid w:val="00140F0C"/>
    <w:rsid w:val="0014185A"/>
    <w:rsid w:val="00141B12"/>
    <w:rsid w:val="001420FD"/>
    <w:rsid w:val="0014210D"/>
    <w:rsid w:val="00142520"/>
    <w:rsid w:val="0014270D"/>
    <w:rsid w:val="00142EDE"/>
    <w:rsid w:val="0014355A"/>
    <w:rsid w:val="00143606"/>
    <w:rsid w:val="00143B54"/>
    <w:rsid w:val="001441F6"/>
    <w:rsid w:val="00144367"/>
    <w:rsid w:val="0014446B"/>
    <w:rsid w:val="00145041"/>
    <w:rsid w:val="001453A8"/>
    <w:rsid w:val="00146188"/>
    <w:rsid w:val="001467B1"/>
    <w:rsid w:val="00146879"/>
    <w:rsid w:val="00146BB3"/>
    <w:rsid w:val="001474DF"/>
    <w:rsid w:val="001474E9"/>
    <w:rsid w:val="0014776B"/>
    <w:rsid w:val="00150764"/>
    <w:rsid w:val="00151049"/>
    <w:rsid w:val="00151E0B"/>
    <w:rsid w:val="00152724"/>
    <w:rsid w:val="00152D94"/>
    <w:rsid w:val="00152DDA"/>
    <w:rsid w:val="00153276"/>
    <w:rsid w:val="0015394B"/>
    <w:rsid w:val="00153C07"/>
    <w:rsid w:val="00153CA5"/>
    <w:rsid w:val="00153F0B"/>
    <w:rsid w:val="001545B2"/>
    <w:rsid w:val="0015514E"/>
    <w:rsid w:val="0015518E"/>
    <w:rsid w:val="00155238"/>
    <w:rsid w:val="00155385"/>
    <w:rsid w:val="001557F1"/>
    <w:rsid w:val="001558B4"/>
    <w:rsid w:val="00155B6C"/>
    <w:rsid w:val="00156719"/>
    <w:rsid w:val="001567C6"/>
    <w:rsid w:val="00156BA2"/>
    <w:rsid w:val="00156E6F"/>
    <w:rsid w:val="00160B5F"/>
    <w:rsid w:val="00160C74"/>
    <w:rsid w:val="001610BD"/>
    <w:rsid w:val="001617D2"/>
    <w:rsid w:val="001618A4"/>
    <w:rsid w:val="001621B0"/>
    <w:rsid w:val="00162C73"/>
    <w:rsid w:val="00162E25"/>
    <w:rsid w:val="00163169"/>
    <w:rsid w:val="00163279"/>
    <w:rsid w:val="001638A9"/>
    <w:rsid w:val="001638D8"/>
    <w:rsid w:val="00163CD2"/>
    <w:rsid w:val="0016404A"/>
    <w:rsid w:val="00164790"/>
    <w:rsid w:val="00164C2A"/>
    <w:rsid w:val="00165181"/>
    <w:rsid w:val="00165390"/>
    <w:rsid w:val="001653D1"/>
    <w:rsid w:val="00165BC4"/>
    <w:rsid w:val="00165BCA"/>
    <w:rsid w:val="00165C4A"/>
    <w:rsid w:val="00166B73"/>
    <w:rsid w:val="00166D82"/>
    <w:rsid w:val="00167112"/>
    <w:rsid w:val="00167F35"/>
    <w:rsid w:val="00170246"/>
    <w:rsid w:val="001702C0"/>
    <w:rsid w:val="001705E8"/>
    <w:rsid w:val="001707F9"/>
    <w:rsid w:val="00171CEF"/>
    <w:rsid w:val="0017286C"/>
    <w:rsid w:val="00172B97"/>
    <w:rsid w:val="00173109"/>
    <w:rsid w:val="001732CA"/>
    <w:rsid w:val="001739F7"/>
    <w:rsid w:val="001749D8"/>
    <w:rsid w:val="00174FFD"/>
    <w:rsid w:val="00175F0F"/>
    <w:rsid w:val="0017651E"/>
    <w:rsid w:val="001765A8"/>
    <w:rsid w:val="00176669"/>
    <w:rsid w:val="00176942"/>
    <w:rsid w:val="00176BC2"/>
    <w:rsid w:val="00176C06"/>
    <w:rsid w:val="00176DB4"/>
    <w:rsid w:val="00177176"/>
    <w:rsid w:val="00177181"/>
    <w:rsid w:val="00177320"/>
    <w:rsid w:val="00177AC6"/>
    <w:rsid w:val="0018099D"/>
    <w:rsid w:val="001809C8"/>
    <w:rsid w:val="001809CA"/>
    <w:rsid w:val="00180AE8"/>
    <w:rsid w:val="00182B6F"/>
    <w:rsid w:val="00182C37"/>
    <w:rsid w:val="00183365"/>
    <w:rsid w:val="001835DA"/>
    <w:rsid w:val="00183E6A"/>
    <w:rsid w:val="00183E9B"/>
    <w:rsid w:val="00183F89"/>
    <w:rsid w:val="001849F3"/>
    <w:rsid w:val="00184AB9"/>
    <w:rsid w:val="00184B59"/>
    <w:rsid w:val="00184C19"/>
    <w:rsid w:val="00184DA1"/>
    <w:rsid w:val="00185025"/>
    <w:rsid w:val="001854BC"/>
    <w:rsid w:val="00185B29"/>
    <w:rsid w:val="00185B80"/>
    <w:rsid w:val="0018736B"/>
    <w:rsid w:val="00190BF5"/>
    <w:rsid w:val="00190C44"/>
    <w:rsid w:val="00190C4E"/>
    <w:rsid w:val="00190D44"/>
    <w:rsid w:val="00190E0F"/>
    <w:rsid w:val="00190E59"/>
    <w:rsid w:val="00191060"/>
    <w:rsid w:val="0019154F"/>
    <w:rsid w:val="00191AE0"/>
    <w:rsid w:val="001928D6"/>
    <w:rsid w:val="00192A94"/>
    <w:rsid w:val="00192B16"/>
    <w:rsid w:val="00192C4E"/>
    <w:rsid w:val="00192DB4"/>
    <w:rsid w:val="00193438"/>
    <w:rsid w:val="00193AF9"/>
    <w:rsid w:val="001947AB"/>
    <w:rsid w:val="001947EA"/>
    <w:rsid w:val="0019492D"/>
    <w:rsid w:val="00194966"/>
    <w:rsid w:val="00194BAE"/>
    <w:rsid w:val="00194F25"/>
    <w:rsid w:val="00195002"/>
    <w:rsid w:val="001953DD"/>
    <w:rsid w:val="00195489"/>
    <w:rsid w:val="00195A7E"/>
    <w:rsid w:val="00195C36"/>
    <w:rsid w:val="00195C79"/>
    <w:rsid w:val="001960AE"/>
    <w:rsid w:val="001966E0"/>
    <w:rsid w:val="00196B71"/>
    <w:rsid w:val="00197352"/>
    <w:rsid w:val="001A036A"/>
    <w:rsid w:val="001A064C"/>
    <w:rsid w:val="001A0932"/>
    <w:rsid w:val="001A0CC9"/>
    <w:rsid w:val="001A15E0"/>
    <w:rsid w:val="001A17C6"/>
    <w:rsid w:val="001A3303"/>
    <w:rsid w:val="001A34EC"/>
    <w:rsid w:val="001A3B6C"/>
    <w:rsid w:val="001A3DEE"/>
    <w:rsid w:val="001A43B4"/>
    <w:rsid w:val="001A440D"/>
    <w:rsid w:val="001A4B11"/>
    <w:rsid w:val="001A573A"/>
    <w:rsid w:val="001A58B5"/>
    <w:rsid w:val="001A5BB6"/>
    <w:rsid w:val="001A5CE1"/>
    <w:rsid w:val="001A5F08"/>
    <w:rsid w:val="001A6B3C"/>
    <w:rsid w:val="001A6E8B"/>
    <w:rsid w:val="001A71D9"/>
    <w:rsid w:val="001A7C7E"/>
    <w:rsid w:val="001B08BF"/>
    <w:rsid w:val="001B0B69"/>
    <w:rsid w:val="001B1114"/>
    <w:rsid w:val="001B1138"/>
    <w:rsid w:val="001B1587"/>
    <w:rsid w:val="001B1B71"/>
    <w:rsid w:val="001B1E66"/>
    <w:rsid w:val="001B262D"/>
    <w:rsid w:val="001B321A"/>
    <w:rsid w:val="001B3238"/>
    <w:rsid w:val="001B36F0"/>
    <w:rsid w:val="001B3CD6"/>
    <w:rsid w:val="001B3EAC"/>
    <w:rsid w:val="001B3FAA"/>
    <w:rsid w:val="001B4100"/>
    <w:rsid w:val="001B4274"/>
    <w:rsid w:val="001B45A0"/>
    <w:rsid w:val="001B47AA"/>
    <w:rsid w:val="001B4F00"/>
    <w:rsid w:val="001B56B6"/>
    <w:rsid w:val="001B592E"/>
    <w:rsid w:val="001B5EA0"/>
    <w:rsid w:val="001B60F7"/>
    <w:rsid w:val="001B632C"/>
    <w:rsid w:val="001B654A"/>
    <w:rsid w:val="001B6645"/>
    <w:rsid w:val="001B673C"/>
    <w:rsid w:val="001B6BC8"/>
    <w:rsid w:val="001B6BE3"/>
    <w:rsid w:val="001B6C13"/>
    <w:rsid w:val="001B7084"/>
    <w:rsid w:val="001B7158"/>
    <w:rsid w:val="001B772A"/>
    <w:rsid w:val="001B7CC2"/>
    <w:rsid w:val="001C1F1F"/>
    <w:rsid w:val="001C1FED"/>
    <w:rsid w:val="001C267B"/>
    <w:rsid w:val="001C3E50"/>
    <w:rsid w:val="001C3EF0"/>
    <w:rsid w:val="001C4581"/>
    <w:rsid w:val="001C4643"/>
    <w:rsid w:val="001C489F"/>
    <w:rsid w:val="001C4912"/>
    <w:rsid w:val="001C49C7"/>
    <w:rsid w:val="001C4AA3"/>
    <w:rsid w:val="001C566A"/>
    <w:rsid w:val="001C5AB6"/>
    <w:rsid w:val="001C5E85"/>
    <w:rsid w:val="001C6019"/>
    <w:rsid w:val="001C7D54"/>
    <w:rsid w:val="001D04BB"/>
    <w:rsid w:val="001D0BD1"/>
    <w:rsid w:val="001D0EFD"/>
    <w:rsid w:val="001D168C"/>
    <w:rsid w:val="001D172E"/>
    <w:rsid w:val="001D1B12"/>
    <w:rsid w:val="001D2037"/>
    <w:rsid w:val="001D2452"/>
    <w:rsid w:val="001D26D8"/>
    <w:rsid w:val="001D2C06"/>
    <w:rsid w:val="001D2D7F"/>
    <w:rsid w:val="001D3451"/>
    <w:rsid w:val="001D3C52"/>
    <w:rsid w:val="001D48C0"/>
    <w:rsid w:val="001D549C"/>
    <w:rsid w:val="001D582B"/>
    <w:rsid w:val="001D65C7"/>
    <w:rsid w:val="001D6860"/>
    <w:rsid w:val="001D7276"/>
    <w:rsid w:val="001E072E"/>
    <w:rsid w:val="001E0C74"/>
    <w:rsid w:val="001E0EB3"/>
    <w:rsid w:val="001E1372"/>
    <w:rsid w:val="001E16AA"/>
    <w:rsid w:val="001E1B57"/>
    <w:rsid w:val="001E1C1E"/>
    <w:rsid w:val="001E20A1"/>
    <w:rsid w:val="001E2159"/>
    <w:rsid w:val="001E21F5"/>
    <w:rsid w:val="001E3236"/>
    <w:rsid w:val="001E3266"/>
    <w:rsid w:val="001E3520"/>
    <w:rsid w:val="001E3599"/>
    <w:rsid w:val="001E36D3"/>
    <w:rsid w:val="001E384E"/>
    <w:rsid w:val="001E39DB"/>
    <w:rsid w:val="001E3C4E"/>
    <w:rsid w:val="001E3F14"/>
    <w:rsid w:val="001E4561"/>
    <w:rsid w:val="001E4945"/>
    <w:rsid w:val="001E4A54"/>
    <w:rsid w:val="001E566B"/>
    <w:rsid w:val="001E708D"/>
    <w:rsid w:val="001F04FC"/>
    <w:rsid w:val="001F0B01"/>
    <w:rsid w:val="001F0D6D"/>
    <w:rsid w:val="001F1013"/>
    <w:rsid w:val="001F1AC6"/>
    <w:rsid w:val="001F1E46"/>
    <w:rsid w:val="001F2F0E"/>
    <w:rsid w:val="001F3190"/>
    <w:rsid w:val="001F3968"/>
    <w:rsid w:val="001F4186"/>
    <w:rsid w:val="001F463C"/>
    <w:rsid w:val="001F49B4"/>
    <w:rsid w:val="001F6EFB"/>
    <w:rsid w:val="001F71C9"/>
    <w:rsid w:val="001F7571"/>
    <w:rsid w:val="001F76AF"/>
    <w:rsid w:val="001F7E35"/>
    <w:rsid w:val="002003F6"/>
    <w:rsid w:val="00200CC8"/>
    <w:rsid w:val="00201241"/>
    <w:rsid w:val="00201493"/>
    <w:rsid w:val="00201937"/>
    <w:rsid w:val="0020216A"/>
    <w:rsid w:val="002026CF"/>
    <w:rsid w:val="00203B9F"/>
    <w:rsid w:val="00203D84"/>
    <w:rsid w:val="00203F2E"/>
    <w:rsid w:val="00204095"/>
    <w:rsid w:val="00205554"/>
    <w:rsid w:val="002057DE"/>
    <w:rsid w:val="0020681C"/>
    <w:rsid w:val="00206999"/>
    <w:rsid w:val="00206D51"/>
    <w:rsid w:val="00206E39"/>
    <w:rsid w:val="00207237"/>
    <w:rsid w:val="00207374"/>
    <w:rsid w:val="002073DC"/>
    <w:rsid w:val="002075BF"/>
    <w:rsid w:val="00207A8B"/>
    <w:rsid w:val="00207DB8"/>
    <w:rsid w:val="00207F69"/>
    <w:rsid w:val="00208116"/>
    <w:rsid w:val="0021016C"/>
    <w:rsid w:val="002108CE"/>
    <w:rsid w:val="002108E7"/>
    <w:rsid w:val="00211013"/>
    <w:rsid w:val="0021175B"/>
    <w:rsid w:val="0021269F"/>
    <w:rsid w:val="00212A7F"/>
    <w:rsid w:val="00213E9F"/>
    <w:rsid w:val="00214083"/>
    <w:rsid w:val="002153C3"/>
    <w:rsid w:val="00215667"/>
    <w:rsid w:val="00215FA4"/>
    <w:rsid w:val="00216A79"/>
    <w:rsid w:val="00216FB6"/>
    <w:rsid w:val="002174D2"/>
    <w:rsid w:val="00217B56"/>
    <w:rsid w:val="0022136F"/>
    <w:rsid w:val="00221441"/>
    <w:rsid w:val="002214F5"/>
    <w:rsid w:val="00221A68"/>
    <w:rsid w:val="00221BD8"/>
    <w:rsid w:val="0022224D"/>
    <w:rsid w:val="00222507"/>
    <w:rsid w:val="0022264A"/>
    <w:rsid w:val="0022388C"/>
    <w:rsid w:val="00224308"/>
    <w:rsid w:val="0022449A"/>
    <w:rsid w:val="0022492C"/>
    <w:rsid w:val="00224D32"/>
    <w:rsid w:val="00224F81"/>
    <w:rsid w:val="00225051"/>
    <w:rsid w:val="00225A51"/>
    <w:rsid w:val="002262C7"/>
    <w:rsid w:val="0022660E"/>
    <w:rsid w:val="002266F2"/>
    <w:rsid w:val="00226E1A"/>
    <w:rsid w:val="00227A74"/>
    <w:rsid w:val="00230392"/>
    <w:rsid w:val="002312F0"/>
    <w:rsid w:val="0023161A"/>
    <w:rsid w:val="00231CD5"/>
    <w:rsid w:val="00232155"/>
    <w:rsid w:val="002325E0"/>
    <w:rsid w:val="00232E39"/>
    <w:rsid w:val="0023302A"/>
    <w:rsid w:val="002341C4"/>
    <w:rsid w:val="00234E0E"/>
    <w:rsid w:val="00235D07"/>
    <w:rsid w:val="00235FCD"/>
    <w:rsid w:val="00236032"/>
    <w:rsid w:val="00236BD7"/>
    <w:rsid w:val="0023740C"/>
    <w:rsid w:val="00237960"/>
    <w:rsid w:val="00237F50"/>
    <w:rsid w:val="002409D3"/>
    <w:rsid w:val="00240FBE"/>
    <w:rsid w:val="002417F2"/>
    <w:rsid w:val="00241A79"/>
    <w:rsid w:val="00241EE0"/>
    <w:rsid w:val="00242260"/>
    <w:rsid w:val="002424E5"/>
    <w:rsid w:val="00242832"/>
    <w:rsid w:val="00242AFD"/>
    <w:rsid w:val="00242EC3"/>
    <w:rsid w:val="00242FE8"/>
    <w:rsid w:val="00243803"/>
    <w:rsid w:val="00243A71"/>
    <w:rsid w:val="00244933"/>
    <w:rsid w:val="00244996"/>
    <w:rsid w:val="00244F32"/>
    <w:rsid w:val="00245382"/>
    <w:rsid w:val="002454BE"/>
    <w:rsid w:val="00245712"/>
    <w:rsid w:val="002458BD"/>
    <w:rsid w:val="00246881"/>
    <w:rsid w:val="00246C34"/>
    <w:rsid w:val="00247495"/>
    <w:rsid w:val="00250136"/>
    <w:rsid w:val="0025059A"/>
    <w:rsid w:val="00250B3A"/>
    <w:rsid w:val="002510EE"/>
    <w:rsid w:val="00251275"/>
    <w:rsid w:val="00251880"/>
    <w:rsid w:val="00251A69"/>
    <w:rsid w:val="00251BEF"/>
    <w:rsid w:val="0025284B"/>
    <w:rsid w:val="00252C87"/>
    <w:rsid w:val="00253318"/>
    <w:rsid w:val="00253F88"/>
    <w:rsid w:val="002553F6"/>
    <w:rsid w:val="00255611"/>
    <w:rsid w:val="00255921"/>
    <w:rsid w:val="00256664"/>
    <w:rsid w:val="00256C10"/>
    <w:rsid w:val="00256C97"/>
    <w:rsid w:val="00256F36"/>
    <w:rsid w:val="00257374"/>
    <w:rsid w:val="00257B86"/>
    <w:rsid w:val="00257EE8"/>
    <w:rsid w:val="00260F1F"/>
    <w:rsid w:val="00260FB1"/>
    <w:rsid w:val="00261936"/>
    <w:rsid w:val="00261A16"/>
    <w:rsid w:val="00261B46"/>
    <w:rsid w:val="00261DF0"/>
    <w:rsid w:val="002626DF"/>
    <w:rsid w:val="002629FB"/>
    <w:rsid w:val="00263180"/>
    <w:rsid w:val="002632B1"/>
    <w:rsid w:val="00263933"/>
    <w:rsid w:val="00264B83"/>
    <w:rsid w:val="00264C9A"/>
    <w:rsid w:val="00264CEB"/>
    <w:rsid w:val="002651D1"/>
    <w:rsid w:val="002655D5"/>
    <w:rsid w:val="0026617A"/>
    <w:rsid w:val="002664B2"/>
    <w:rsid w:val="002666AD"/>
    <w:rsid w:val="00267807"/>
    <w:rsid w:val="00267D1A"/>
    <w:rsid w:val="00267D33"/>
    <w:rsid w:val="00267D93"/>
    <w:rsid w:val="0027002F"/>
    <w:rsid w:val="00270F45"/>
    <w:rsid w:val="002710F2"/>
    <w:rsid w:val="00271258"/>
    <w:rsid w:val="00271650"/>
    <w:rsid w:val="00271D33"/>
    <w:rsid w:val="00271FB6"/>
    <w:rsid w:val="00272652"/>
    <w:rsid w:val="00272CBD"/>
    <w:rsid w:val="0027345D"/>
    <w:rsid w:val="00273F0E"/>
    <w:rsid w:val="002740B7"/>
    <w:rsid w:val="0027413E"/>
    <w:rsid w:val="002741ED"/>
    <w:rsid w:val="002743C2"/>
    <w:rsid w:val="002744FB"/>
    <w:rsid w:val="0027507D"/>
    <w:rsid w:val="00275661"/>
    <w:rsid w:val="00276400"/>
    <w:rsid w:val="00276C3C"/>
    <w:rsid w:val="0027714B"/>
    <w:rsid w:val="00277174"/>
    <w:rsid w:val="00277179"/>
    <w:rsid w:val="002779A1"/>
    <w:rsid w:val="00277DC5"/>
    <w:rsid w:val="002802DA"/>
    <w:rsid w:val="00280330"/>
    <w:rsid w:val="002814A0"/>
    <w:rsid w:val="00281E9A"/>
    <w:rsid w:val="002822C3"/>
    <w:rsid w:val="002825B7"/>
    <w:rsid w:val="002827AD"/>
    <w:rsid w:val="00282831"/>
    <w:rsid w:val="00282C28"/>
    <w:rsid w:val="002830CC"/>
    <w:rsid w:val="002839DD"/>
    <w:rsid w:val="002845F8"/>
    <w:rsid w:val="00285479"/>
    <w:rsid w:val="002855A4"/>
    <w:rsid w:val="002858F0"/>
    <w:rsid w:val="00285AB1"/>
    <w:rsid w:val="00285FBC"/>
    <w:rsid w:val="00286A1C"/>
    <w:rsid w:val="00286C0C"/>
    <w:rsid w:val="002871F8"/>
    <w:rsid w:val="00287D49"/>
    <w:rsid w:val="00287E89"/>
    <w:rsid w:val="002903A9"/>
    <w:rsid w:val="00290A35"/>
    <w:rsid w:val="00290D4B"/>
    <w:rsid w:val="002910FB"/>
    <w:rsid w:val="00291331"/>
    <w:rsid w:val="00291391"/>
    <w:rsid w:val="002914D9"/>
    <w:rsid w:val="00291913"/>
    <w:rsid w:val="00291CDF"/>
    <w:rsid w:val="00292763"/>
    <w:rsid w:val="00292E80"/>
    <w:rsid w:val="00293173"/>
    <w:rsid w:val="0029330A"/>
    <w:rsid w:val="002947D0"/>
    <w:rsid w:val="00294929"/>
    <w:rsid w:val="00295239"/>
    <w:rsid w:val="00295550"/>
    <w:rsid w:val="002958DE"/>
    <w:rsid w:val="00295FC8"/>
    <w:rsid w:val="00296B9F"/>
    <w:rsid w:val="0029709F"/>
    <w:rsid w:val="00297243"/>
    <w:rsid w:val="0029747E"/>
    <w:rsid w:val="002978B1"/>
    <w:rsid w:val="00297D26"/>
    <w:rsid w:val="00297D64"/>
    <w:rsid w:val="002A0517"/>
    <w:rsid w:val="002A064E"/>
    <w:rsid w:val="002A06E6"/>
    <w:rsid w:val="002A098C"/>
    <w:rsid w:val="002A10B3"/>
    <w:rsid w:val="002A123D"/>
    <w:rsid w:val="002A1369"/>
    <w:rsid w:val="002A1B09"/>
    <w:rsid w:val="002A1C6E"/>
    <w:rsid w:val="002A1E17"/>
    <w:rsid w:val="002A1F0F"/>
    <w:rsid w:val="002A249E"/>
    <w:rsid w:val="002A274C"/>
    <w:rsid w:val="002A2A05"/>
    <w:rsid w:val="002A2B81"/>
    <w:rsid w:val="002A2BE7"/>
    <w:rsid w:val="002A2F27"/>
    <w:rsid w:val="002A37E2"/>
    <w:rsid w:val="002A3BBB"/>
    <w:rsid w:val="002A3CD8"/>
    <w:rsid w:val="002A424D"/>
    <w:rsid w:val="002A4621"/>
    <w:rsid w:val="002A5117"/>
    <w:rsid w:val="002A517A"/>
    <w:rsid w:val="002A5D7B"/>
    <w:rsid w:val="002A5F54"/>
    <w:rsid w:val="002A62D1"/>
    <w:rsid w:val="002A694E"/>
    <w:rsid w:val="002A69C6"/>
    <w:rsid w:val="002A6A32"/>
    <w:rsid w:val="002A7B83"/>
    <w:rsid w:val="002B0A4D"/>
    <w:rsid w:val="002B0C89"/>
    <w:rsid w:val="002B11D0"/>
    <w:rsid w:val="002B16D7"/>
    <w:rsid w:val="002B2DB4"/>
    <w:rsid w:val="002B3BA8"/>
    <w:rsid w:val="002B3FF5"/>
    <w:rsid w:val="002B42D5"/>
    <w:rsid w:val="002B49FE"/>
    <w:rsid w:val="002B4DE5"/>
    <w:rsid w:val="002B599B"/>
    <w:rsid w:val="002B5A8A"/>
    <w:rsid w:val="002B5AF7"/>
    <w:rsid w:val="002B5CAF"/>
    <w:rsid w:val="002B6585"/>
    <w:rsid w:val="002B6888"/>
    <w:rsid w:val="002B6FD1"/>
    <w:rsid w:val="002B7E3A"/>
    <w:rsid w:val="002B7E9B"/>
    <w:rsid w:val="002C00F8"/>
    <w:rsid w:val="002C0582"/>
    <w:rsid w:val="002C0FFE"/>
    <w:rsid w:val="002C17B6"/>
    <w:rsid w:val="002C227D"/>
    <w:rsid w:val="002C22CC"/>
    <w:rsid w:val="002C2DE0"/>
    <w:rsid w:val="002C3009"/>
    <w:rsid w:val="002C3138"/>
    <w:rsid w:val="002C37F6"/>
    <w:rsid w:val="002C44AA"/>
    <w:rsid w:val="002C4520"/>
    <w:rsid w:val="002C494D"/>
    <w:rsid w:val="002C4AAC"/>
    <w:rsid w:val="002C4AB9"/>
    <w:rsid w:val="002C50FE"/>
    <w:rsid w:val="002C610A"/>
    <w:rsid w:val="002C6226"/>
    <w:rsid w:val="002C6945"/>
    <w:rsid w:val="002C6A41"/>
    <w:rsid w:val="002C6D2A"/>
    <w:rsid w:val="002C6D5D"/>
    <w:rsid w:val="002C74A0"/>
    <w:rsid w:val="002C75CD"/>
    <w:rsid w:val="002D0B76"/>
    <w:rsid w:val="002D0C77"/>
    <w:rsid w:val="002D0FFF"/>
    <w:rsid w:val="002D11BB"/>
    <w:rsid w:val="002D1471"/>
    <w:rsid w:val="002D1D3C"/>
    <w:rsid w:val="002D2089"/>
    <w:rsid w:val="002D21E6"/>
    <w:rsid w:val="002D240F"/>
    <w:rsid w:val="002D25A0"/>
    <w:rsid w:val="002D25D3"/>
    <w:rsid w:val="002D268F"/>
    <w:rsid w:val="002D2C16"/>
    <w:rsid w:val="002D30AE"/>
    <w:rsid w:val="002D3255"/>
    <w:rsid w:val="002D3D4C"/>
    <w:rsid w:val="002D3D92"/>
    <w:rsid w:val="002D49F9"/>
    <w:rsid w:val="002D5912"/>
    <w:rsid w:val="002D5F9D"/>
    <w:rsid w:val="002D64C8"/>
    <w:rsid w:val="002D6534"/>
    <w:rsid w:val="002D67DA"/>
    <w:rsid w:val="002D6CD0"/>
    <w:rsid w:val="002D7533"/>
    <w:rsid w:val="002D7E72"/>
    <w:rsid w:val="002E043F"/>
    <w:rsid w:val="002E0696"/>
    <w:rsid w:val="002E06D0"/>
    <w:rsid w:val="002E08C3"/>
    <w:rsid w:val="002E0E18"/>
    <w:rsid w:val="002E0F5D"/>
    <w:rsid w:val="002E1CCB"/>
    <w:rsid w:val="002E1F1F"/>
    <w:rsid w:val="002E2721"/>
    <w:rsid w:val="002E28C3"/>
    <w:rsid w:val="002E2946"/>
    <w:rsid w:val="002E2A96"/>
    <w:rsid w:val="002E335B"/>
    <w:rsid w:val="002E3375"/>
    <w:rsid w:val="002E3AF7"/>
    <w:rsid w:val="002E4685"/>
    <w:rsid w:val="002E4E96"/>
    <w:rsid w:val="002E50A6"/>
    <w:rsid w:val="002E54E2"/>
    <w:rsid w:val="002E5732"/>
    <w:rsid w:val="002E5CF1"/>
    <w:rsid w:val="002E63A1"/>
    <w:rsid w:val="002E6E32"/>
    <w:rsid w:val="002E700E"/>
    <w:rsid w:val="002E72A3"/>
    <w:rsid w:val="002E787C"/>
    <w:rsid w:val="002E7EAA"/>
    <w:rsid w:val="002F006D"/>
    <w:rsid w:val="002F032E"/>
    <w:rsid w:val="002F052A"/>
    <w:rsid w:val="002F1620"/>
    <w:rsid w:val="002F1B63"/>
    <w:rsid w:val="002F217C"/>
    <w:rsid w:val="002F2646"/>
    <w:rsid w:val="002F2BD3"/>
    <w:rsid w:val="002F2FEA"/>
    <w:rsid w:val="002F3175"/>
    <w:rsid w:val="002F4212"/>
    <w:rsid w:val="002F4886"/>
    <w:rsid w:val="002F4B6E"/>
    <w:rsid w:val="002F4E03"/>
    <w:rsid w:val="002F5DC3"/>
    <w:rsid w:val="002F6A44"/>
    <w:rsid w:val="002F755C"/>
    <w:rsid w:val="002F7EE9"/>
    <w:rsid w:val="00300DFC"/>
    <w:rsid w:val="00301EF4"/>
    <w:rsid w:val="0030293A"/>
    <w:rsid w:val="00302AEE"/>
    <w:rsid w:val="003031DB"/>
    <w:rsid w:val="00303492"/>
    <w:rsid w:val="00303C17"/>
    <w:rsid w:val="00303C36"/>
    <w:rsid w:val="00304B60"/>
    <w:rsid w:val="00304DD9"/>
    <w:rsid w:val="0030514C"/>
    <w:rsid w:val="00305590"/>
    <w:rsid w:val="00305BC6"/>
    <w:rsid w:val="00306846"/>
    <w:rsid w:val="003069E2"/>
    <w:rsid w:val="00306E25"/>
    <w:rsid w:val="003071F8"/>
    <w:rsid w:val="0030732F"/>
    <w:rsid w:val="003073CC"/>
    <w:rsid w:val="00307607"/>
    <w:rsid w:val="00307733"/>
    <w:rsid w:val="00307A02"/>
    <w:rsid w:val="00307FBB"/>
    <w:rsid w:val="00310533"/>
    <w:rsid w:val="003109C4"/>
    <w:rsid w:val="003111DD"/>
    <w:rsid w:val="00311406"/>
    <w:rsid w:val="00311E87"/>
    <w:rsid w:val="003122E6"/>
    <w:rsid w:val="00312353"/>
    <w:rsid w:val="00312908"/>
    <w:rsid w:val="003129C4"/>
    <w:rsid w:val="00312B34"/>
    <w:rsid w:val="00312B5F"/>
    <w:rsid w:val="00312BF5"/>
    <w:rsid w:val="00312CC7"/>
    <w:rsid w:val="0031315F"/>
    <w:rsid w:val="0031393A"/>
    <w:rsid w:val="00313B07"/>
    <w:rsid w:val="00313F52"/>
    <w:rsid w:val="0031442F"/>
    <w:rsid w:val="003144A9"/>
    <w:rsid w:val="003145D2"/>
    <w:rsid w:val="003149AE"/>
    <w:rsid w:val="0031520D"/>
    <w:rsid w:val="00315758"/>
    <w:rsid w:val="00315773"/>
    <w:rsid w:val="00315A8B"/>
    <w:rsid w:val="00315F6D"/>
    <w:rsid w:val="0031630D"/>
    <w:rsid w:val="00317AD1"/>
    <w:rsid w:val="0032008A"/>
    <w:rsid w:val="0032015B"/>
    <w:rsid w:val="0032016E"/>
    <w:rsid w:val="00320388"/>
    <w:rsid w:val="00320B77"/>
    <w:rsid w:val="003217FA"/>
    <w:rsid w:val="003223FC"/>
    <w:rsid w:val="00322526"/>
    <w:rsid w:val="003227BB"/>
    <w:rsid w:val="00323A53"/>
    <w:rsid w:val="003246DF"/>
    <w:rsid w:val="00324F38"/>
    <w:rsid w:val="0032515A"/>
    <w:rsid w:val="0032542F"/>
    <w:rsid w:val="00325459"/>
    <w:rsid w:val="00325768"/>
    <w:rsid w:val="00326872"/>
    <w:rsid w:val="00326951"/>
    <w:rsid w:val="0032697C"/>
    <w:rsid w:val="0032765D"/>
    <w:rsid w:val="003276B3"/>
    <w:rsid w:val="0032780E"/>
    <w:rsid w:val="003304B2"/>
    <w:rsid w:val="00330DBF"/>
    <w:rsid w:val="00331A25"/>
    <w:rsid w:val="00331BE8"/>
    <w:rsid w:val="00331E79"/>
    <w:rsid w:val="003324E9"/>
    <w:rsid w:val="00332786"/>
    <w:rsid w:val="00332FA6"/>
    <w:rsid w:val="003330A9"/>
    <w:rsid w:val="00333130"/>
    <w:rsid w:val="00333215"/>
    <w:rsid w:val="0033326B"/>
    <w:rsid w:val="00333B9B"/>
    <w:rsid w:val="00333C93"/>
    <w:rsid w:val="00333D70"/>
    <w:rsid w:val="00333F4A"/>
    <w:rsid w:val="00334055"/>
    <w:rsid w:val="00334658"/>
    <w:rsid w:val="0033472D"/>
    <w:rsid w:val="003347AB"/>
    <w:rsid w:val="0033502E"/>
    <w:rsid w:val="00335131"/>
    <w:rsid w:val="0033542B"/>
    <w:rsid w:val="00336308"/>
    <w:rsid w:val="00336F9B"/>
    <w:rsid w:val="0033706D"/>
    <w:rsid w:val="00337590"/>
    <w:rsid w:val="00337BA5"/>
    <w:rsid w:val="00337EEE"/>
    <w:rsid w:val="00340025"/>
    <w:rsid w:val="0034017C"/>
    <w:rsid w:val="00340671"/>
    <w:rsid w:val="00340DE4"/>
    <w:rsid w:val="00341CB1"/>
    <w:rsid w:val="003420F3"/>
    <w:rsid w:val="00342387"/>
    <w:rsid w:val="00342472"/>
    <w:rsid w:val="0034254E"/>
    <w:rsid w:val="00342572"/>
    <w:rsid w:val="003425D9"/>
    <w:rsid w:val="00342662"/>
    <w:rsid w:val="00342B32"/>
    <w:rsid w:val="00342E1E"/>
    <w:rsid w:val="00342FB5"/>
    <w:rsid w:val="00343161"/>
    <w:rsid w:val="00343342"/>
    <w:rsid w:val="00343A93"/>
    <w:rsid w:val="00344975"/>
    <w:rsid w:val="00344B8D"/>
    <w:rsid w:val="00344CE4"/>
    <w:rsid w:val="003459F2"/>
    <w:rsid w:val="003463C1"/>
    <w:rsid w:val="00346EA7"/>
    <w:rsid w:val="00347867"/>
    <w:rsid w:val="00347A59"/>
    <w:rsid w:val="00347FA0"/>
    <w:rsid w:val="00350138"/>
    <w:rsid w:val="0035018B"/>
    <w:rsid w:val="003504F4"/>
    <w:rsid w:val="00351096"/>
    <w:rsid w:val="003513B6"/>
    <w:rsid w:val="00351FF2"/>
    <w:rsid w:val="0035218A"/>
    <w:rsid w:val="003522E7"/>
    <w:rsid w:val="003523A8"/>
    <w:rsid w:val="003527FE"/>
    <w:rsid w:val="0035287E"/>
    <w:rsid w:val="0035291B"/>
    <w:rsid w:val="00352E94"/>
    <w:rsid w:val="00353000"/>
    <w:rsid w:val="00353A83"/>
    <w:rsid w:val="00353E62"/>
    <w:rsid w:val="0035405F"/>
    <w:rsid w:val="0035507F"/>
    <w:rsid w:val="0035595E"/>
    <w:rsid w:val="00356142"/>
    <w:rsid w:val="00356886"/>
    <w:rsid w:val="00356F35"/>
    <w:rsid w:val="00357617"/>
    <w:rsid w:val="00357752"/>
    <w:rsid w:val="00357B2F"/>
    <w:rsid w:val="003601CF"/>
    <w:rsid w:val="00360499"/>
    <w:rsid w:val="00360B7F"/>
    <w:rsid w:val="00361795"/>
    <w:rsid w:val="00361A7B"/>
    <w:rsid w:val="003620EB"/>
    <w:rsid w:val="003629AD"/>
    <w:rsid w:val="00362CA7"/>
    <w:rsid w:val="00362DBB"/>
    <w:rsid w:val="00362DCD"/>
    <w:rsid w:val="0036337D"/>
    <w:rsid w:val="0036425B"/>
    <w:rsid w:val="0036439F"/>
    <w:rsid w:val="00364476"/>
    <w:rsid w:val="003645DD"/>
    <w:rsid w:val="00364E2B"/>
    <w:rsid w:val="0036542E"/>
    <w:rsid w:val="00365440"/>
    <w:rsid w:val="00365ADB"/>
    <w:rsid w:val="003667C4"/>
    <w:rsid w:val="00366816"/>
    <w:rsid w:val="00366D9D"/>
    <w:rsid w:val="003673FE"/>
    <w:rsid w:val="00367937"/>
    <w:rsid w:val="0036799D"/>
    <w:rsid w:val="00367F3B"/>
    <w:rsid w:val="003704AB"/>
    <w:rsid w:val="00370991"/>
    <w:rsid w:val="003712F4"/>
    <w:rsid w:val="00371B18"/>
    <w:rsid w:val="0037273B"/>
    <w:rsid w:val="00372CF9"/>
    <w:rsid w:val="0037361D"/>
    <w:rsid w:val="003739D5"/>
    <w:rsid w:val="00373A08"/>
    <w:rsid w:val="00373AB9"/>
    <w:rsid w:val="0037444C"/>
    <w:rsid w:val="00374BF0"/>
    <w:rsid w:val="00374D8E"/>
    <w:rsid w:val="003750BB"/>
    <w:rsid w:val="003759B3"/>
    <w:rsid w:val="00375D23"/>
    <w:rsid w:val="00376005"/>
    <w:rsid w:val="00376262"/>
    <w:rsid w:val="0037635D"/>
    <w:rsid w:val="003768E0"/>
    <w:rsid w:val="00376B1F"/>
    <w:rsid w:val="0037719B"/>
    <w:rsid w:val="003773A4"/>
    <w:rsid w:val="00377AA9"/>
    <w:rsid w:val="00380008"/>
    <w:rsid w:val="003803B3"/>
    <w:rsid w:val="00380C6E"/>
    <w:rsid w:val="003819CB"/>
    <w:rsid w:val="00381C22"/>
    <w:rsid w:val="00381C8B"/>
    <w:rsid w:val="0038210E"/>
    <w:rsid w:val="003821BF"/>
    <w:rsid w:val="00382FDD"/>
    <w:rsid w:val="0038321A"/>
    <w:rsid w:val="00383881"/>
    <w:rsid w:val="00383EFC"/>
    <w:rsid w:val="0038402B"/>
    <w:rsid w:val="003840C2"/>
    <w:rsid w:val="00384AD7"/>
    <w:rsid w:val="00384DE0"/>
    <w:rsid w:val="00384F9E"/>
    <w:rsid w:val="0038569C"/>
    <w:rsid w:val="00385A5A"/>
    <w:rsid w:val="003864B2"/>
    <w:rsid w:val="0038660C"/>
    <w:rsid w:val="00386CB6"/>
    <w:rsid w:val="00387357"/>
    <w:rsid w:val="00387426"/>
    <w:rsid w:val="00387461"/>
    <w:rsid w:val="0038771C"/>
    <w:rsid w:val="00390E3E"/>
    <w:rsid w:val="003911CD"/>
    <w:rsid w:val="0039160F"/>
    <w:rsid w:val="00391B5D"/>
    <w:rsid w:val="0039216D"/>
    <w:rsid w:val="00392969"/>
    <w:rsid w:val="00392982"/>
    <w:rsid w:val="0039298D"/>
    <w:rsid w:val="00392E81"/>
    <w:rsid w:val="00394126"/>
    <w:rsid w:val="00394D1D"/>
    <w:rsid w:val="00396935"/>
    <w:rsid w:val="003969F3"/>
    <w:rsid w:val="00396D9A"/>
    <w:rsid w:val="00397B6A"/>
    <w:rsid w:val="00397DC7"/>
    <w:rsid w:val="003A138B"/>
    <w:rsid w:val="003A1392"/>
    <w:rsid w:val="003A21E7"/>
    <w:rsid w:val="003A24DE"/>
    <w:rsid w:val="003A25CE"/>
    <w:rsid w:val="003A2731"/>
    <w:rsid w:val="003A2A69"/>
    <w:rsid w:val="003A2D8C"/>
    <w:rsid w:val="003A2F05"/>
    <w:rsid w:val="003A3166"/>
    <w:rsid w:val="003A3ABD"/>
    <w:rsid w:val="003A405C"/>
    <w:rsid w:val="003A5086"/>
    <w:rsid w:val="003A509D"/>
    <w:rsid w:val="003A5302"/>
    <w:rsid w:val="003A57EB"/>
    <w:rsid w:val="003A5876"/>
    <w:rsid w:val="003A5BE4"/>
    <w:rsid w:val="003A650E"/>
    <w:rsid w:val="003A674D"/>
    <w:rsid w:val="003A6A3D"/>
    <w:rsid w:val="003A6EEC"/>
    <w:rsid w:val="003A7133"/>
    <w:rsid w:val="003A71D8"/>
    <w:rsid w:val="003A7CDB"/>
    <w:rsid w:val="003A7E5A"/>
    <w:rsid w:val="003B012C"/>
    <w:rsid w:val="003B041E"/>
    <w:rsid w:val="003B0903"/>
    <w:rsid w:val="003B0B10"/>
    <w:rsid w:val="003B1FDE"/>
    <w:rsid w:val="003B1FF1"/>
    <w:rsid w:val="003B2746"/>
    <w:rsid w:val="003B2DBB"/>
    <w:rsid w:val="003B2DFC"/>
    <w:rsid w:val="003B30C0"/>
    <w:rsid w:val="003B3AC0"/>
    <w:rsid w:val="003B3B49"/>
    <w:rsid w:val="003B3C31"/>
    <w:rsid w:val="003B43CD"/>
    <w:rsid w:val="003B4404"/>
    <w:rsid w:val="003B460E"/>
    <w:rsid w:val="003B4718"/>
    <w:rsid w:val="003B47E2"/>
    <w:rsid w:val="003B4F82"/>
    <w:rsid w:val="003B5216"/>
    <w:rsid w:val="003B5432"/>
    <w:rsid w:val="003B58A2"/>
    <w:rsid w:val="003B5E21"/>
    <w:rsid w:val="003B60E7"/>
    <w:rsid w:val="003B724F"/>
    <w:rsid w:val="003B7EDC"/>
    <w:rsid w:val="003C08E7"/>
    <w:rsid w:val="003C0A00"/>
    <w:rsid w:val="003C1364"/>
    <w:rsid w:val="003C13EC"/>
    <w:rsid w:val="003C1896"/>
    <w:rsid w:val="003C26BF"/>
    <w:rsid w:val="003C2751"/>
    <w:rsid w:val="003C2A8A"/>
    <w:rsid w:val="003C2E23"/>
    <w:rsid w:val="003C2EAA"/>
    <w:rsid w:val="003C30C8"/>
    <w:rsid w:val="003C3165"/>
    <w:rsid w:val="003C3306"/>
    <w:rsid w:val="003C3A23"/>
    <w:rsid w:val="003C451C"/>
    <w:rsid w:val="003C4642"/>
    <w:rsid w:val="003C474C"/>
    <w:rsid w:val="003C4C61"/>
    <w:rsid w:val="003C5418"/>
    <w:rsid w:val="003C55EC"/>
    <w:rsid w:val="003C5A04"/>
    <w:rsid w:val="003C5B98"/>
    <w:rsid w:val="003C5F1F"/>
    <w:rsid w:val="003C6237"/>
    <w:rsid w:val="003C653D"/>
    <w:rsid w:val="003C66CE"/>
    <w:rsid w:val="003C6C40"/>
    <w:rsid w:val="003C7831"/>
    <w:rsid w:val="003D00E8"/>
    <w:rsid w:val="003D01EE"/>
    <w:rsid w:val="003D0246"/>
    <w:rsid w:val="003D03A3"/>
    <w:rsid w:val="003D1873"/>
    <w:rsid w:val="003D1B32"/>
    <w:rsid w:val="003D1DD8"/>
    <w:rsid w:val="003D238B"/>
    <w:rsid w:val="003D2DEE"/>
    <w:rsid w:val="003D36B0"/>
    <w:rsid w:val="003D37E5"/>
    <w:rsid w:val="003D390D"/>
    <w:rsid w:val="003D3AE4"/>
    <w:rsid w:val="003D3C6B"/>
    <w:rsid w:val="003D3FEC"/>
    <w:rsid w:val="003D4521"/>
    <w:rsid w:val="003D4CD9"/>
    <w:rsid w:val="003D5130"/>
    <w:rsid w:val="003D520C"/>
    <w:rsid w:val="003D5FCD"/>
    <w:rsid w:val="003D6553"/>
    <w:rsid w:val="003D6C92"/>
    <w:rsid w:val="003D6CAF"/>
    <w:rsid w:val="003D6F1A"/>
    <w:rsid w:val="003D7334"/>
    <w:rsid w:val="003D7E37"/>
    <w:rsid w:val="003E01BF"/>
    <w:rsid w:val="003E0465"/>
    <w:rsid w:val="003E07FF"/>
    <w:rsid w:val="003E0FD3"/>
    <w:rsid w:val="003E1B5C"/>
    <w:rsid w:val="003E2015"/>
    <w:rsid w:val="003E2501"/>
    <w:rsid w:val="003E26C1"/>
    <w:rsid w:val="003E27C6"/>
    <w:rsid w:val="003E284E"/>
    <w:rsid w:val="003E2A46"/>
    <w:rsid w:val="003E2D1B"/>
    <w:rsid w:val="003E3488"/>
    <w:rsid w:val="003E3716"/>
    <w:rsid w:val="003E3DCF"/>
    <w:rsid w:val="003E475E"/>
    <w:rsid w:val="003E4B4A"/>
    <w:rsid w:val="003E5015"/>
    <w:rsid w:val="003E5036"/>
    <w:rsid w:val="003E506D"/>
    <w:rsid w:val="003E5419"/>
    <w:rsid w:val="003E5C2F"/>
    <w:rsid w:val="003E5EC7"/>
    <w:rsid w:val="003E628C"/>
    <w:rsid w:val="003E6A59"/>
    <w:rsid w:val="003E6D65"/>
    <w:rsid w:val="003E7538"/>
    <w:rsid w:val="003E7CFD"/>
    <w:rsid w:val="003F05CD"/>
    <w:rsid w:val="003F07C1"/>
    <w:rsid w:val="003F10FC"/>
    <w:rsid w:val="003F1593"/>
    <w:rsid w:val="003F174E"/>
    <w:rsid w:val="003F18C2"/>
    <w:rsid w:val="003F1C5F"/>
    <w:rsid w:val="003F204A"/>
    <w:rsid w:val="003F27A4"/>
    <w:rsid w:val="003F28FF"/>
    <w:rsid w:val="003F3A7F"/>
    <w:rsid w:val="003F3D72"/>
    <w:rsid w:val="003F489D"/>
    <w:rsid w:val="003F4E79"/>
    <w:rsid w:val="003F4FC1"/>
    <w:rsid w:val="003F5080"/>
    <w:rsid w:val="003F5177"/>
    <w:rsid w:val="003F5276"/>
    <w:rsid w:val="003F53CA"/>
    <w:rsid w:val="003F580F"/>
    <w:rsid w:val="003F5B65"/>
    <w:rsid w:val="003F5C4B"/>
    <w:rsid w:val="003F6098"/>
    <w:rsid w:val="003F62FC"/>
    <w:rsid w:val="003F67FC"/>
    <w:rsid w:val="003F69B4"/>
    <w:rsid w:val="003F6DE4"/>
    <w:rsid w:val="003F71CB"/>
    <w:rsid w:val="003F75A0"/>
    <w:rsid w:val="003F7B00"/>
    <w:rsid w:val="003F7D7A"/>
    <w:rsid w:val="00400700"/>
    <w:rsid w:val="004007B0"/>
    <w:rsid w:val="00400CE0"/>
    <w:rsid w:val="00400CF9"/>
    <w:rsid w:val="00401B60"/>
    <w:rsid w:val="004020B2"/>
    <w:rsid w:val="004029AB"/>
    <w:rsid w:val="00402D4A"/>
    <w:rsid w:val="00402EC8"/>
    <w:rsid w:val="004032D2"/>
    <w:rsid w:val="00403302"/>
    <w:rsid w:val="004036B9"/>
    <w:rsid w:val="00403C9C"/>
    <w:rsid w:val="0040641F"/>
    <w:rsid w:val="00406441"/>
    <w:rsid w:val="00406854"/>
    <w:rsid w:val="00406880"/>
    <w:rsid w:val="004068DE"/>
    <w:rsid w:val="0040705D"/>
    <w:rsid w:val="004070A1"/>
    <w:rsid w:val="004070B2"/>
    <w:rsid w:val="0040757A"/>
    <w:rsid w:val="00407BED"/>
    <w:rsid w:val="00407E2C"/>
    <w:rsid w:val="004107ED"/>
    <w:rsid w:val="00410C46"/>
    <w:rsid w:val="00410C87"/>
    <w:rsid w:val="004112E0"/>
    <w:rsid w:val="00411B0B"/>
    <w:rsid w:val="0041254B"/>
    <w:rsid w:val="004126EC"/>
    <w:rsid w:val="00412855"/>
    <w:rsid w:val="00413020"/>
    <w:rsid w:val="004134E0"/>
    <w:rsid w:val="00413EB6"/>
    <w:rsid w:val="00414987"/>
    <w:rsid w:val="00414FE5"/>
    <w:rsid w:val="004156EC"/>
    <w:rsid w:val="004159B8"/>
    <w:rsid w:val="00415A2A"/>
    <w:rsid w:val="00415AB7"/>
    <w:rsid w:val="00415C86"/>
    <w:rsid w:val="00415D05"/>
    <w:rsid w:val="0041633E"/>
    <w:rsid w:val="00416B86"/>
    <w:rsid w:val="004175CF"/>
    <w:rsid w:val="00420BBC"/>
    <w:rsid w:val="00420CCD"/>
    <w:rsid w:val="00421097"/>
    <w:rsid w:val="00421929"/>
    <w:rsid w:val="00422426"/>
    <w:rsid w:val="0042402E"/>
    <w:rsid w:val="004242E7"/>
    <w:rsid w:val="00424353"/>
    <w:rsid w:val="004247C4"/>
    <w:rsid w:val="00424988"/>
    <w:rsid w:val="00424990"/>
    <w:rsid w:val="00424AF5"/>
    <w:rsid w:val="00425361"/>
    <w:rsid w:val="00425406"/>
    <w:rsid w:val="004258F2"/>
    <w:rsid w:val="00425A92"/>
    <w:rsid w:val="00425D50"/>
    <w:rsid w:val="00425F80"/>
    <w:rsid w:val="00426056"/>
    <w:rsid w:val="0042650A"/>
    <w:rsid w:val="00426D91"/>
    <w:rsid w:val="00427034"/>
    <w:rsid w:val="00427EC3"/>
    <w:rsid w:val="00430371"/>
    <w:rsid w:val="00430AE1"/>
    <w:rsid w:val="00430C04"/>
    <w:rsid w:val="00430E3C"/>
    <w:rsid w:val="00431240"/>
    <w:rsid w:val="00431269"/>
    <w:rsid w:val="004313BF"/>
    <w:rsid w:val="00431D92"/>
    <w:rsid w:val="0043308E"/>
    <w:rsid w:val="00433D84"/>
    <w:rsid w:val="00434564"/>
    <w:rsid w:val="004345EF"/>
    <w:rsid w:val="004345FD"/>
    <w:rsid w:val="00434601"/>
    <w:rsid w:val="004348D6"/>
    <w:rsid w:val="00434DE7"/>
    <w:rsid w:val="00434EFE"/>
    <w:rsid w:val="004360CF"/>
    <w:rsid w:val="0043624D"/>
    <w:rsid w:val="00436454"/>
    <w:rsid w:val="004371BC"/>
    <w:rsid w:val="004378C3"/>
    <w:rsid w:val="00437A53"/>
    <w:rsid w:val="00437F16"/>
    <w:rsid w:val="00440351"/>
    <w:rsid w:val="00440724"/>
    <w:rsid w:val="00440858"/>
    <w:rsid w:val="004408FB"/>
    <w:rsid w:val="00441049"/>
    <w:rsid w:val="004415CE"/>
    <w:rsid w:val="004416D2"/>
    <w:rsid w:val="00441D67"/>
    <w:rsid w:val="00442442"/>
    <w:rsid w:val="00442E23"/>
    <w:rsid w:val="00442F4D"/>
    <w:rsid w:val="00443652"/>
    <w:rsid w:val="004437F1"/>
    <w:rsid w:val="00443F97"/>
    <w:rsid w:val="00444124"/>
    <w:rsid w:val="00444161"/>
    <w:rsid w:val="004443DF"/>
    <w:rsid w:val="00444431"/>
    <w:rsid w:val="00444FB9"/>
    <w:rsid w:val="0044560B"/>
    <w:rsid w:val="004457F4"/>
    <w:rsid w:val="00445A33"/>
    <w:rsid w:val="00445B36"/>
    <w:rsid w:val="0044606B"/>
    <w:rsid w:val="00446645"/>
    <w:rsid w:val="004467FA"/>
    <w:rsid w:val="00446846"/>
    <w:rsid w:val="00447121"/>
    <w:rsid w:val="00447E7E"/>
    <w:rsid w:val="0045049E"/>
    <w:rsid w:val="0045082E"/>
    <w:rsid w:val="004516B0"/>
    <w:rsid w:val="00451A5A"/>
    <w:rsid w:val="00452293"/>
    <w:rsid w:val="00453447"/>
    <w:rsid w:val="00453FC3"/>
    <w:rsid w:val="004540AF"/>
    <w:rsid w:val="004547FE"/>
    <w:rsid w:val="0045530B"/>
    <w:rsid w:val="004555D3"/>
    <w:rsid w:val="00455D84"/>
    <w:rsid w:val="00455FC7"/>
    <w:rsid w:val="00456665"/>
    <w:rsid w:val="00456C8F"/>
    <w:rsid w:val="00456D83"/>
    <w:rsid w:val="00456EE6"/>
    <w:rsid w:val="0045711F"/>
    <w:rsid w:val="00457426"/>
    <w:rsid w:val="00457C44"/>
    <w:rsid w:val="00460387"/>
    <w:rsid w:val="00460390"/>
    <w:rsid w:val="00461A60"/>
    <w:rsid w:val="00461BE6"/>
    <w:rsid w:val="00461C76"/>
    <w:rsid w:val="00461D8D"/>
    <w:rsid w:val="0046258C"/>
    <w:rsid w:val="00462D3F"/>
    <w:rsid w:val="00462FD2"/>
    <w:rsid w:val="00463360"/>
    <w:rsid w:val="00464032"/>
    <w:rsid w:val="00465544"/>
    <w:rsid w:val="00465A81"/>
    <w:rsid w:val="00466179"/>
    <w:rsid w:val="00466B3A"/>
    <w:rsid w:val="0046785A"/>
    <w:rsid w:val="00467F68"/>
    <w:rsid w:val="004702B4"/>
    <w:rsid w:val="004704EE"/>
    <w:rsid w:val="004705DD"/>
    <w:rsid w:val="00470672"/>
    <w:rsid w:val="0047072D"/>
    <w:rsid w:val="00470BCE"/>
    <w:rsid w:val="00470C17"/>
    <w:rsid w:val="00471276"/>
    <w:rsid w:val="00471CA0"/>
    <w:rsid w:val="004721D9"/>
    <w:rsid w:val="004723F5"/>
    <w:rsid w:val="0047245E"/>
    <w:rsid w:val="0047282B"/>
    <w:rsid w:val="00472850"/>
    <w:rsid w:val="00473A9E"/>
    <w:rsid w:val="00473D5E"/>
    <w:rsid w:val="00473F26"/>
    <w:rsid w:val="0047406E"/>
    <w:rsid w:val="00474172"/>
    <w:rsid w:val="004741C7"/>
    <w:rsid w:val="00474ACA"/>
    <w:rsid w:val="00474B16"/>
    <w:rsid w:val="0047506C"/>
    <w:rsid w:val="00475138"/>
    <w:rsid w:val="004756AA"/>
    <w:rsid w:val="00475D12"/>
    <w:rsid w:val="00475F2C"/>
    <w:rsid w:val="004762D8"/>
    <w:rsid w:val="004766DA"/>
    <w:rsid w:val="004767F5"/>
    <w:rsid w:val="00476829"/>
    <w:rsid w:val="00477719"/>
    <w:rsid w:val="00477748"/>
    <w:rsid w:val="004778C4"/>
    <w:rsid w:val="00477D20"/>
    <w:rsid w:val="00477DBE"/>
    <w:rsid w:val="00480BB9"/>
    <w:rsid w:val="00481174"/>
    <w:rsid w:val="00482052"/>
    <w:rsid w:val="0048254F"/>
    <w:rsid w:val="00482A0C"/>
    <w:rsid w:val="00482E99"/>
    <w:rsid w:val="00483091"/>
    <w:rsid w:val="004832B0"/>
    <w:rsid w:val="00483A1C"/>
    <w:rsid w:val="00483CAC"/>
    <w:rsid w:val="00483FC9"/>
    <w:rsid w:val="00483FCD"/>
    <w:rsid w:val="00483FE0"/>
    <w:rsid w:val="00484343"/>
    <w:rsid w:val="0048523E"/>
    <w:rsid w:val="004853A7"/>
    <w:rsid w:val="0048540E"/>
    <w:rsid w:val="00485AED"/>
    <w:rsid w:val="00485DC8"/>
    <w:rsid w:val="00487137"/>
    <w:rsid w:val="0048746A"/>
    <w:rsid w:val="0048751C"/>
    <w:rsid w:val="004878A3"/>
    <w:rsid w:val="004878C1"/>
    <w:rsid w:val="0049013C"/>
    <w:rsid w:val="00491A45"/>
    <w:rsid w:val="00491B2E"/>
    <w:rsid w:val="00491FB2"/>
    <w:rsid w:val="00492420"/>
    <w:rsid w:val="004924E4"/>
    <w:rsid w:val="0049285F"/>
    <w:rsid w:val="00492981"/>
    <w:rsid w:val="00492A81"/>
    <w:rsid w:val="00492D44"/>
    <w:rsid w:val="00492EE5"/>
    <w:rsid w:val="00492FE4"/>
    <w:rsid w:val="0049302E"/>
    <w:rsid w:val="00493172"/>
    <w:rsid w:val="00493273"/>
    <w:rsid w:val="00493281"/>
    <w:rsid w:val="004938E5"/>
    <w:rsid w:val="00493D6D"/>
    <w:rsid w:val="00493E3B"/>
    <w:rsid w:val="00494167"/>
    <w:rsid w:val="004945A0"/>
    <w:rsid w:val="00494FD7"/>
    <w:rsid w:val="004951A4"/>
    <w:rsid w:val="00495340"/>
    <w:rsid w:val="00495672"/>
    <w:rsid w:val="004956BA"/>
    <w:rsid w:val="00495CCD"/>
    <w:rsid w:val="00495E50"/>
    <w:rsid w:val="004960C0"/>
    <w:rsid w:val="00496733"/>
    <w:rsid w:val="004970B3"/>
    <w:rsid w:val="00497714"/>
    <w:rsid w:val="00497C5A"/>
    <w:rsid w:val="00497EE8"/>
    <w:rsid w:val="00497F2A"/>
    <w:rsid w:val="004A0032"/>
    <w:rsid w:val="004A0A89"/>
    <w:rsid w:val="004A1614"/>
    <w:rsid w:val="004A16BB"/>
    <w:rsid w:val="004A19E9"/>
    <w:rsid w:val="004A1BB5"/>
    <w:rsid w:val="004A1F86"/>
    <w:rsid w:val="004A21A0"/>
    <w:rsid w:val="004A22F8"/>
    <w:rsid w:val="004A2550"/>
    <w:rsid w:val="004A25A0"/>
    <w:rsid w:val="004A2683"/>
    <w:rsid w:val="004A2EA3"/>
    <w:rsid w:val="004A3765"/>
    <w:rsid w:val="004A3909"/>
    <w:rsid w:val="004A4134"/>
    <w:rsid w:val="004A4907"/>
    <w:rsid w:val="004A4B13"/>
    <w:rsid w:val="004A4C7D"/>
    <w:rsid w:val="004A53A5"/>
    <w:rsid w:val="004A55EA"/>
    <w:rsid w:val="004A562E"/>
    <w:rsid w:val="004A588F"/>
    <w:rsid w:val="004A6317"/>
    <w:rsid w:val="004A6A5F"/>
    <w:rsid w:val="004A73FE"/>
    <w:rsid w:val="004A748F"/>
    <w:rsid w:val="004A78D5"/>
    <w:rsid w:val="004A7B4A"/>
    <w:rsid w:val="004A7CAB"/>
    <w:rsid w:val="004A7CF5"/>
    <w:rsid w:val="004B00EB"/>
    <w:rsid w:val="004B015E"/>
    <w:rsid w:val="004B0690"/>
    <w:rsid w:val="004B074B"/>
    <w:rsid w:val="004B0885"/>
    <w:rsid w:val="004B0955"/>
    <w:rsid w:val="004B0A24"/>
    <w:rsid w:val="004B0D9E"/>
    <w:rsid w:val="004B107A"/>
    <w:rsid w:val="004B1AD1"/>
    <w:rsid w:val="004B2889"/>
    <w:rsid w:val="004B2913"/>
    <w:rsid w:val="004B2E2A"/>
    <w:rsid w:val="004B2FBA"/>
    <w:rsid w:val="004B39AC"/>
    <w:rsid w:val="004B3C72"/>
    <w:rsid w:val="004B44B5"/>
    <w:rsid w:val="004B4512"/>
    <w:rsid w:val="004B5400"/>
    <w:rsid w:val="004B5D5D"/>
    <w:rsid w:val="004B5ED4"/>
    <w:rsid w:val="004B653D"/>
    <w:rsid w:val="004B6605"/>
    <w:rsid w:val="004B70C0"/>
    <w:rsid w:val="004B72E5"/>
    <w:rsid w:val="004C011D"/>
    <w:rsid w:val="004C01F4"/>
    <w:rsid w:val="004C0201"/>
    <w:rsid w:val="004C02D7"/>
    <w:rsid w:val="004C107E"/>
    <w:rsid w:val="004C16A9"/>
    <w:rsid w:val="004C17CF"/>
    <w:rsid w:val="004C1B08"/>
    <w:rsid w:val="004C1BE4"/>
    <w:rsid w:val="004C1DAE"/>
    <w:rsid w:val="004C1EFB"/>
    <w:rsid w:val="004C2A1D"/>
    <w:rsid w:val="004C2B3D"/>
    <w:rsid w:val="004C2E5A"/>
    <w:rsid w:val="004C34E7"/>
    <w:rsid w:val="004C3541"/>
    <w:rsid w:val="004C35F9"/>
    <w:rsid w:val="004C4030"/>
    <w:rsid w:val="004C53C9"/>
    <w:rsid w:val="004C5B3C"/>
    <w:rsid w:val="004C5CAD"/>
    <w:rsid w:val="004C6554"/>
    <w:rsid w:val="004C6727"/>
    <w:rsid w:val="004C794C"/>
    <w:rsid w:val="004C7C2B"/>
    <w:rsid w:val="004C7FD3"/>
    <w:rsid w:val="004D0137"/>
    <w:rsid w:val="004D01FE"/>
    <w:rsid w:val="004D0C74"/>
    <w:rsid w:val="004D0CCE"/>
    <w:rsid w:val="004D0D37"/>
    <w:rsid w:val="004D10C3"/>
    <w:rsid w:val="004D17B1"/>
    <w:rsid w:val="004D1871"/>
    <w:rsid w:val="004D1C16"/>
    <w:rsid w:val="004D217C"/>
    <w:rsid w:val="004D22A6"/>
    <w:rsid w:val="004D27A9"/>
    <w:rsid w:val="004D4694"/>
    <w:rsid w:val="004D4C57"/>
    <w:rsid w:val="004D4E82"/>
    <w:rsid w:val="004D4E9A"/>
    <w:rsid w:val="004D4EF1"/>
    <w:rsid w:val="004D50CE"/>
    <w:rsid w:val="004D541D"/>
    <w:rsid w:val="004D5A66"/>
    <w:rsid w:val="004D64AB"/>
    <w:rsid w:val="004D79A0"/>
    <w:rsid w:val="004D7A19"/>
    <w:rsid w:val="004D7B11"/>
    <w:rsid w:val="004E0303"/>
    <w:rsid w:val="004E0388"/>
    <w:rsid w:val="004E073F"/>
    <w:rsid w:val="004E0A9F"/>
    <w:rsid w:val="004E0B29"/>
    <w:rsid w:val="004E0D95"/>
    <w:rsid w:val="004E0FFD"/>
    <w:rsid w:val="004E14FC"/>
    <w:rsid w:val="004E1501"/>
    <w:rsid w:val="004E1743"/>
    <w:rsid w:val="004E19CA"/>
    <w:rsid w:val="004E20A7"/>
    <w:rsid w:val="004E22AF"/>
    <w:rsid w:val="004E230A"/>
    <w:rsid w:val="004E3176"/>
    <w:rsid w:val="004E33D0"/>
    <w:rsid w:val="004E3B7D"/>
    <w:rsid w:val="004E4A7D"/>
    <w:rsid w:val="004E55B9"/>
    <w:rsid w:val="004E5E18"/>
    <w:rsid w:val="004E7104"/>
    <w:rsid w:val="004E7B71"/>
    <w:rsid w:val="004E7CB4"/>
    <w:rsid w:val="004F04B8"/>
    <w:rsid w:val="004F04CF"/>
    <w:rsid w:val="004F06B1"/>
    <w:rsid w:val="004F0EEA"/>
    <w:rsid w:val="004F23A5"/>
    <w:rsid w:val="004F2572"/>
    <w:rsid w:val="004F27B7"/>
    <w:rsid w:val="004F2840"/>
    <w:rsid w:val="004F2EFB"/>
    <w:rsid w:val="004F3794"/>
    <w:rsid w:val="004F3C3B"/>
    <w:rsid w:val="004F3EFF"/>
    <w:rsid w:val="004F405D"/>
    <w:rsid w:val="004F468A"/>
    <w:rsid w:val="004F4BA3"/>
    <w:rsid w:val="004F4E82"/>
    <w:rsid w:val="004F4E95"/>
    <w:rsid w:val="004F5300"/>
    <w:rsid w:val="004F555B"/>
    <w:rsid w:val="004F5928"/>
    <w:rsid w:val="004F6CAC"/>
    <w:rsid w:val="004F70DB"/>
    <w:rsid w:val="004F71DD"/>
    <w:rsid w:val="004F726E"/>
    <w:rsid w:val="004F7E8C"/>
    <w:rsid w:val="00500364"/>
    <w:rsid w:val="0050048C"/>
    <w:rsid w:val="00500B05"/>
    <w:rsid w:val="00500BE8"/>
    <w:rsid w:val="0050122A"/>
    <w:rsid w:val="005012DB"/>
    <w:rsid w:val="005013FB"/>
    <w:rsid w:val="00501FB5"/>
    <w:rsid w:val="005021D3"/>
    <w:rsid w:val="00502623"/>
    <w:rsid w:val="00502E00"/>
    <w:rsid w:val="00503145"/>
    <w:rsid w:val="00503696"/>
    <w:rsid w:val="00503885"/>
    <w:rsid w:val="00504100"/>
    <w:rsid w:val="0050424F"/>
    <w:rsid w:val="00504381"/>
    <w:rsid w:val="005047B9"/>
    <w:rsid w:val="0050481B"/>
    <w:rsid w:val="00504D22"/>
    <w:rsid w:val="00504D91"/>
    <w:rsid w:val="00504E0F"/>
    <w:rsid w:val="005051C6"/>
    <w:rsid w:val="0050612C"/>
    <w:rsid w:val="005067AD"/>
    <w:rsid w:val="00506850"/>
    <w:rsid w:val="00506AA3"/>
    <w:rsid w:val="00506BF4"/>
    <w:rsid w:val="00506E50"/>
    <w:rsid w:val="00507297"/>
    <w:rsid w:val="00507AEE"/>
    <w:rsid w:val="00507B72"/>
    <w:rsid w:val="00507DEB"/>
    <w:rsid w:val="005102B7"/>
    <w:rsid w:val="00510932"/>
    <w:rsid w:val="00510DC6"/>
    <w:rsid w:val="0051236D"/>
    <w:rsid w:val="005139ED"/>
    <w:rsid w:val="00513B73"/>
    <w:rsid w:val="00513DF5"/>
    <w:rsid w:val="00515099"/>
    <w:rsid w:val="00515218"/>
    <w:rsid w:val="00515292"/>
    <w:rsid w:val="00516490"/>
    <w:rsid w:val="005166A4"/>
    <w:rsid w:val="0051687E"/>
    <w:rsid w:val="005169E2"/>
    <w:rsid w:val="00517022"/>
    <w:rsid w:val="0051714C"/>
    <w:rsid w:val="0051739C"/>
    <w:rsid w:val="00517B7B"/>
    <w:rsid w:val="00517D24"/>
    <w:rsid w:val="005200F0"/>
    <w:rsid w:val="005203A6"/>
    <w:rsid w:val="005206F4"/>
    <w:rsid w:val="005209A1"/>
    <w:rsid w:val="00520D04"/>
    <w:rsid w:val="00520E3F"/>
    <w:rsid w:val="00520F91"/>
    <w:rsid w:val="00521999"/>
    <w:rsid w:val="00521B14"/>
    <w:rsid w:val="00522437"/>
    <w:rsid w:val="00522580"/>
    <w:rsid w:val="00522621"/>
    <w:rsid w:val="00522755"/>
    <w:rsid w:val="00522AFD"/>
    <w:rsid w:val="00522BA6"/>
    <w:rsid w:val="00524138"/>
    <w:rsid w:val="005243B3"/>
    <w:rsid w:val="0052461D"/>
    <w:rsid w:val="00524658"/>
    <w:rsid w:val="005247E6"/>
    <w:rsid w:val="00524A67"/>
    <w:rsid w:val="00524FCE"/>
    <w:rsid w:val="005251CA"/>
    <w:rsid w:val="0052587D"/>
    <w:rsid w:val="00525DB9"/>
    <w:rsid w:val="00527052"/>
    <w:rsid w:val="00527988"/>
    <w:rsid w:val="00527E1F"/>
    <w:rsid w:val="005305A5"/>
    <w:rsid w:val="00530EC5"/>
    <w:rsid w:val="005310C9"/>
    <w:rsid w:val="00531854"/>
    <w:rsid w:val="00531872"/>
    <w:rsid w:val="005318D8"/>
    <w:rsid w:val="005318E6"/>
    <w:rsid w:val="00531F4A"/>
    <w:rsid w:val="00531FD5"/>
    <w:rsid w:val="005322C6"/>
    <w:rsid w:val="00532BFA"/>
    <w:rsid w:val="005338C6"/>
    <w:rsid w:val="00533AD3"/>
    <w:rsid w:val="00533B00"/>
    <w:rsid w:val="00534083"/>
    <w:rsid w:val="00534258"/>
    <w:rsid w:val="005344E6"/>
    <w:rsid w:val="00534670"/>
    <w:rsid w:val="00534C67"/>
    <w:rsid w:val="00534F59"/>
    <w:rsid w:val="005357A0"/>
    <w:rsid w:val="00535919"/>
    <w:rsid w:val="00535B92"/>
    <w:rsid w:val="00535F98"/>
    <w:rsid w:val="00536CCF"/>
    <w:rsid w:val="00537040"/>
    <w:rsid w:val="00537211"/>
    <w:rsid w:val="00537429"/>
    <w:rsid w:val="00537A6F"/>
    <w:rsid w:val="00537C23"/>
    <w:rsid w:val="00540257"/>
    <w:rsid w:val="00540D1A"/>
    <w:rsid w:val="00540E7C"/>
    <w:rsid w:val="00540F36"/>
    <w:rsid w:val="0054119B"/>
    <w:rsid w:val="005411E2"/>
    <w:rsid w:val="005411EE"/>
    <w:rsid w:val="00541638"/>
    <w:rsid w:val="00541A19"/>
    <w:rsid w:val="005430DC"/>
    <w:rsid w:val="005431B2"/>
    <w:rsid w:val="005431BE"/>
    <w:rsid w:val="00543452"/>
    <w:rsid w:val="00543769"/>
    <w:rsid w:val="00543AA4"/>
    <w:rsid w:val="00543D16"/>
    <w:rsid w:val="00543EFA"/>
    <w:rsid w:val="005453C9"/>
    <w:rsid w:val="0054541C"/>
    <w:rsid w:val="00545C25"/>
    <w:rsid w:val="00545C39"/>
    <w:rsid w:val="0054655F"/>
    <w:rsid w:val="00546742"/>
    <w:rsid w:val="00546835"/>
    <w:rsid w:val="005468A8"/>
    <w:rsid w:val="005468AD"/>
    <w:rsid w:val="00546B31"/>
    <w:rsid w:val="00546F20"/>
    <w:rsid w:val="00547454"/>
    <w:rsid w:val="0054784B"/>
    <w:rsid w:val="005502FB"/>
    <w:rsid w:val="0055059E"/>
    <w:rsid w:val="00550EAD"/>
    <w:rsid w:val="00551196"/>
    <w:rsid w:val="005512B8"/>
    <w:rsid w:val="005513FC"/>
    <w:rsid w:val="00552012"/>
    <w:rsid w:val="0055226D"/>
    <w:rsid w:val="00553732"/>
    <w:rsid w:val="00554512"/>
    <w:rsid w:val="0055486B"/>
    <w:rsid w:val="00554C2C"/>
    <w:rsid w:val="005550DE"/>
    <w:rsid w:val="005555CC"/>
    <w:rsid w:val="00555830"/>
    <w:rsid w:val="0055687B"/>
    <w:rsid w:val="00556968"/>
    <w:rsid w:val="00557533"/>
    <w:rsid w:val="00557C24"/>
    <w:rsid w:val="00557EAB"/>
    <w:rsid w:val="00557FFD"/>
    <w:rsid w:val="005604DE"/>
    <w:rsid w:val="00560B22"/>
    <w:rsid w:val="005611F3"/>
    <w:rsid w:val="0056164A"/>
    <w:rsid w:val="0056199A"/>
    <w:rsid w:val="00561B28"/>
    <w:rsid w:val="0056202C"/>
    <w:rsid w:val="0056207A"/>
    <w:rsid w:val="0056226C"/>
    <w:rsid w:val="0056242A"/>
    <w:rsid w:val="00562A70"/>
    <w:rsid w:val="005633FD"/>
    <w:rsid w:val="00565C43"/>
    <w:rsid w:val="00565E13"/>
    <w:rsid w:val="00566B0A"/>
    <w:rsid w:val="00566BED"/>
    <w:rsid w:val="00566F47"/>
    <w:rsid w:val="00567AB5"/>
    <w:rsid w:val="00570520"/>
    <w:rsid w:val="00570DF6"/>
    <w:rsid w:val="00571838"/>
    <w:rsid w:val="005720E1"/>
    <w:rsid w:val="005723A7"/>
    <w:rsid w:val="00572A6E"/>
    <w:rsid w:val="0057301C"/>
    <w:rsid w:val="0057312F"/>
    <w:rsid w:val="005732DC"/>
    <w:rsid w:val="0057443E"/>
    <w:rsid w:val="00574B81"/>
    <w:rsid w:val="00575F37"/>
    <w:rsid w:val="00575FED"/>
    <w:rsid w:val="005760CB"/>
    <w:rsid w:val="005762EB"/>
    <w:rsid w:val="00576C2F"/>
    <w:rsid w:val="00576E6D"/>
    <w:rsid w:val="00576FA1"/>
    <w:rsid w:val="00577542"/>
    <w:rsid w:val="00577649"/>
    <w:rsid w:val="00577706"/>
    <w:rsid w:val="00577E1A"/>
    <w:rsid w:val="00580425"/>
    <w:rsid w:val="00580609"/>
    <w:rsid w:val="00581732"/>
    <w:rsid w:val="00581F07"/>
    <w:rsid w:val="00581F14"/>
    <w:rsid w:val="005826C2"/>
    <w:rsid w:val="00582A00"/>
    <w:rsid w:val="00582EB5"/>
    <w:rsid w:val="005831DE"/>
    <w:rsid w:val="00583335"/>
    <w:rsid w:val="00583E5E"/>
    <w:rsid w:val="00583FAE"/>
    <w:rsid w:val="0058450A"/>
    <w:rsid w:val="00584908"/>
    <w:rsid w:val="00584977"/>
    <w:rsid w:val="00584AB0"/>
    <w:rsid w:val="00584AC5"/>
    <w:rsid w:val="00584C25"/>
    <w:rsid w:val="005861F4"/>
    <w:rsid w:val="00586A38"/>
    <w:rsid w:val="00586E7E"/>
    <w:rsid w:val="00587366"/>
    <w:rsid w:val="00587EED"/>
    <w:rsid w:val="00590291"/>
    <w:rsid w:val="005902A0"/>
    <w:rsid w:val="00590CF0"/>
    <w:rsid w:val="00590E43"/>
    <w:rsid w:val="00591130"/>
    <w:rsid w:val="0059171D"/>
    <w:rsid w:val="00592032"/>
    <w:rsid w:val="005927E8"/>
    <w:rsid w:val="00592CAD"/>
    <w:rsid w:val="00592FC3"/>
    <w:rsid w:val="00593061"/>
    <w:rsid w:val="005940CB"/>
    <w:rsid w:val="005944BB"/>
    <w:rsid w:val="005945D9"/>
    <w:rsid w:val="00594BFA"/>
    <w:rsid w:val="00594F7B"/>
    <w:rsid w:val="00595B40"/>
    <w:rsid w:val="00597125"/>
    <w:rsid w:val="00597311"/>
    <w:rsid w:val="00597E79"/>
    <w:rsid w:val="005A0E0D"/>
    <w:rsid w:val="005A0E7D"/>
    <w:rsid w:val="005A0FDA"/>
    <w:rsid w:val="005A12E1"/>
    <w:rsid w:val="005A16FB"/>
    <w:rsid w:val="005A1BD8"/>
    <w:rsid w:val="005A1CE7"/>
    <w:rsid w:val="005A1FE2"/>
    <w:rsid w:val="005A201B"/>
    <w:rsid w:val="005A24AF"/>
    <w:rsid w:val="005A272E"/>
    <w:rsid w:val="005A2850"/>
    <w:rsid w:val="005A31C1"/>
    <w:rsid w:val="005A3F89"/>
    <w:rsid w:val="005A44A4"/>
    <w:rsid w:val="005A45AA"/>
    <w:rsid w:val="005A4B19"/>
    <w:rsid w:val="005A52D7"/>
    <w:rsid w:val="005A5559"/>
    <w:rsid w:val="005A5981"/>
    <w:rsid w:val="005A5BD8"/>
    <w:rsid w:val="005A702F"/>
    <w:rsid w:val="005A7350"/>
    <w:rsid w:val="005A73BE"/>
    <w:rsid w:val="005A7475"/>
    <w:rsid w:val="005A766D"/>
    <w:rsid w:val="005A7A39"/>
    <w:rsid w:val="005A7AC8"/>
    <w:rsid w:val="005A7CAA"/>
    <w:rsid w:val="005A7DAF"/>
    <w:rsid w:val="005B05EF"/>
    <w:rsid w:val="005B0760"/>
    <w:rsid w:val="005B0B67"/>
    <w:rsid w:val="005B0F81"/>
    <w:rsid w:val="005B1075"/>
    <w:rsid w:val="005B120C"/>
    <w:rsid w:val="005B17E0"/>
    <w:rsid w:val="005B1F6F"/>
    <w:rsid w:val="005B238B"/>
    <w:rsid w:val="005B2603"/>
    <w:rsid w:val="005B2BFB"/>
    <w:rsid w:val="005B2C8F"/>
    <w:rsid w:val="005B4726"/>
    <w:rsid w:val="005B5B7C"/>
    <w:rsid w:val="005B6411"/>
    <w:rsid w:val="005B6DE9"/>
    <w:rsid w:val="005C016C"/>
    <w:rsid w:val="005C0AF9"/>
    <w:rsid w:val="005C0D52"/>
    <w:rsid w:val="005C11A3"/>
    <w:rsid w:val="005C127A"/>
    <w:rsid w:val="005C15ED"/>
    <w:rsid w:val="005C17BC"/>
    <w:rsid w:val="005C1B31"/>
    <w:rsid w:val="005C1F8F"/>
    <w:rsid w:val="005C20F3"/>
    <w:rsid w:val="005C2AC2"/>
    <w:rsid w:val="005C2BD2"/>
    <w:rsid w:val="005C2D38"/>
    <w:rsid w:val="005C3AD3"/>
    <w:rsid w:val="005C440B"/>
    <w:rsid w:val="005C447A"/>
    <w:rsid w:val="005C4881"/>
    <w:rsid w:val="005C4D10"/>
    <w:rsid w:val="005C4DF0"/>
    <w:rsid w:val="005C4E2A"/>
    <w:rsid w:val="005C5470"/>
    <w:rsid w:val="005C5B6C"/>
    <w:rsid w:val="005C685E"/>
    <w:rsid w:val="005C6D18"/>
    <w:rsid w:val="005C6EFB"/>
    <w:rsid w:val="005C6FF4"/>
    <w:rsid w:val="005C715C"/>
    <w:rsid w:val="005C742A"/>
    <w:rsid w:val="005C774F"/>
    <w:rsid w:val="005D0627"/>
    <w:rsid w:val="005D09C5"/>
    <w:rsid w:val="005D0E79"/>
    <w:rsid w:val="005D167A"/>
    <w:rsid w:val="005D1B3D"/>
    <w:rsid w:val="005D24C1"/>
    <w:rsid w:val="005D2A91"/>
    <w:rsid w:val="005D3110"/>
    <w:rsid w:val="005D36FB"/>
    <w:rsid w:val="005D38AA"/>
    <w:rsid w:val="005D38EE"/>
    <w:rsid w:val="005D395A"/>
    <w:rsid w:val="005D398E"/>
    <w:rsid w:val="005D3AC9"/>
    <w:rsid w:val="005D3BA5"/>
    <w:rsid w:val="005D4073"/>
    <w:rsid w:val="005D461C"/>
    <w:rsid w:val="005D4B34"/>
    <w:rsid w:val="005D4B59"/>
    <w:rsid w:val="005D4D13"/>
    <w:rsid w:val="005D50B0"/>
    <w:rsid w:val="005D51E8"/>
    <w:rsid w:val="005D5D99"/>
    <w:rsid w:val="005D5E66"/>
    <w:rsid w:val="005D6118"/>
    <w:rsid w:val="005D6173"/>
    <w:rsid w:val="005D62C2"/>
    <w:rsid w:val="005D6E7E"/>
    <w:rsid w:val="005D72A3"/>
    <w:rsid w:val="005D740F"/>
    <w:rsid w:val="005D76DE"/>
    <w:rsid w:val="005D79D4"/>
    <w:rsid w:val="005D7C87"/>
    <w:rsid w:val="005E013C"/>
    <w:rsid w:val="005E0ACB"/>
    <w:rsid w:val="005E0B6C"/>
    <w:rsid w:val="005E0BA6"/>
    <w:rsid w:val="005E1239"/>
    <w:rsid w:val="005E125E"/>
    <w:rsid w:val="005E18F3"/>
    <w:rsid w:val="005E2CCB"/>
    <w:rsid w:val="005E2FBC"/>
    <w:rsid w:val="005E31F6"/>
    <w:rsid w:val="005E34BE"/>
    <w:rsid w:val="005E3635"/>
    <w:rsid w:val="005E36FF"/>
    <w:rsid w:val="005E3818"/>
    <w:rsid w:val="005E41B0"/>
    <w:rsid w:val="005E4C2B"/>
    <w:rsid w:val="005E4E13"/>
    <w:rsid w:val="005E5001"/>
    <w:rsid w:val="005E512D"/>
    <w:rsid w:val="005E521E"/>
    <w:rsid w:val="005E5889"/>
    <w:rsid w:val="005E6BAF"/>
    <w:rsid w:val="005E7195"/>
    <w:rsid w:val="005E727C"/>
    <w:rsid w:val="005E7482"/>
    <w:rsid w:val="005E7A1B"/>
    <w:rsid w:val="005E7F61"/>
    <w:rsid w:val="005F09DA"/>
    <w:rsid w:val="005F0B12"/>
    <w:rsid w:val="005F0F27"/>
    <w:rsid w:val="005F1591"/>
    <w:rsid w:val="005F1773"/>
    <w:rsid w:val="005F17EA"/>
    <w:rsid w:val="005F1817"/>
    <w:rsid w:val="005F1D26"/>
    <w:rsid w:val="005F208C"/>
    <w:rsid w:val="005F20D0"/>
    <w:rsid w:val="005F24E6"/>
    <w:rsid w:val="005F26CF"/>
    <w:rsid w:val="005F2E37"/>
    <w:rsid w:val="005F2E47"/>
    <w:rsid w:val="005F3135"/>
    <w:rsid w:val="005F37AF"/>
    <w:rsid w:val="005F3D20"/>
    <w:rsid w:val="005F3F45"/>
    <w:rsid w:val="005F4AF0"/>
    <w:rsid w:val="005F55A8"/>
    <w:rsid w:val="005F5C16"/>
    <w:rsid w:val="005F5C8F"/>
    <w:rsid w:val="005F5FDC"/>
    <w:rsid w:val="005F684B"/>
    <w:rsid w:val="005F6E05"/>
    <w:rsid w:val="005F6E2B"/>
    <w:rsid w:val="005F7580"/>
    <w:rsid w:val="005F759D"/>
    <w:rsid w:val="005F78A8"/>
    <w:rsid w:val="005F7B21"/>
    <w:rsid w:val="005F7D71"/>
    <w:rsid w:val="006001A5"/>
    <w:rsid w:val="00600650"/>
    <w:rsid w:val="006009D8"/>
    <w:rsid w:val="00600C60"/>
    <w:rsid w:val="006012C2"/>
    <w:rsid w:val="00601453"/>
    <w:rsid w:val="00601AF6"/>
    <w:rsid w:val="00601C4B"/>
    <w:rsid w:val="00601EFF"/>
    <w:rsid w:val="00602196"/>
    <w:rsid w:val="00602325"/>
    <w:rsid w:val="00603328"/>
    <w:rsid w:val="0060383D"/>
    <w:rsid w:val="006038B5"/>
    <w:rsid w:val="00603A07"/>
    <w:rsid w:val="006043DE"/>
    <w:rsid w:val="00604499"/>
    <w:rsid w:val="006048A8"/>
    <w:rsid w:val="0060492B"/>
    <w:rsid w:val="00604D68"/>
    <w:rsid w:val="006059CB"/>
    <w:rsid w:val="00605B58"/>
    <w:rsid w:val="00605E10"/>
    <w:rsid w:val="0060676D"/>
    <w:rsid w:val="006068E4"/>
    <w:rsid w:val="00606C9C"/>
    <w:rsid w:val="00606D1A"/>
    <w:rsid w:val="00607108"/>
    <w:rsid w:val="00607418"/>
    <w:rsid w:val="0060752E"/>
    <w:rsid w:val="006103B2"/>
    <w:rsid w:val="00610437"/>
    <w:rsid w:val="00610E8C"/>
    <w:rsid w:val="00612C73"/>
    <w:rsid w:val="006137FB"/>
    <w:rsid w:val="00613A7D"/>
    <w:rsid w:val="00613B98"/>
    <w:rsid w:val="00613E1A"/>
    <w:rsid w:val="00613ECC"/>
    <w:rsid w:val="0061485A"/>
    <w:rsid w:val="00614B1B"/>
    <w:rsid w:val="00614B2C"/>
    <w:rsid w:val="00614CCB"/>
    <w:rsid w:val="006150B1"/>
    <w:rsid w:val="006159D9"/>
    <w:rsid w:val="00616330"/>
    <w:rsid w:val="00616665"/>
    <w:rsid w:val="006167DA"/>
    <w:rsid w:val="0061711B"/>
    <w:rsid w:val="00617315"/>
    <w:rsid w:val="00617657"/>
    <w:rsid w:val="006179DF"/>
    <w:rsid w:val="006202E5"/>
    <w:rsid w:val="00620620"/>
    <w:rsid w:val="00620C44"/>
    <w:rsid w:val="00620C5F"/>
    <w:rsid w:val="006214CB"/>
    <w:rsid w:val="00621684"/>
    <w:rsid w:val="00621829"/>
    <w:rsid w:val="00621FA8"/>
    <w:rsid w:val="006220DA"/>
    <w:rsid w:val="00622288"/>
    <w:rsid w:val="0062284A"/>
    <w:rsid w:val="006229B7"/>
    <w:rsid w:val="00622F1D"/>
    <w:rsid w:val="00623513"/>
    <w:rsid w:val="0062377D"/>
    <w:rsid w:val="006237C9"/>
    <w:rsid w:val="00623A5B"/>
    <w:rsid w:val="00623A85"/>
    <w:rsid w:val="00623AD4"/>
    <w:rsid w:val="00623D33"/>
    <w:rsid w:val="00624285"/>
    <w:rsid w:val="006250F9"/>
    <w:rsid w:val="006253BA"/>
    <w:rsid w:val="00625C43"/>
    <w:rsid w:val="00626017"/>
    <w:rsid w:val="00626166"/>
    <w:rsid w:val="006261FA"/>
    <w:rsid w:val="006262AB"/>
    <w:rsid w:val="00626436"/>
    <w:rsid w:val="00626CFB"/>
    <w:rsid w:val="00626E2D"/>
    <w:rsid w:val="00626EE4"/>
    <w:rsid w:val="006272C8"/>
    <w:rsid w:val="0062764A"/>
    <w:rsid w:val="00627674"/>
    <w:rsid w:val="006277B8"/>
    <w:rsid w:val="00627B7B"/>
    <w:rsid w:val="00627E8E"/>
    <w:rsid w:val="00627FAD"/>
    <w:rsid w:val="006312EE"/>
    <w:rsid w:val="0063169F"/>
    <w:rsid w:val="00631845"/>
    <w:rsid w:val="0063200C"/>
    <w:rsid w:val="0063252D"/>
    <w:rsid w:val="0063397D"/>
    <w:rsid w:val="00633A7C"/>
    <w:rsid w:val="00633D2B"/>
    <w:rsid w:val="00633F46"/>
    <w:rsid w:val="00634BBD"/>
    <w:rsid w:val="00634D21"/>
    <w:rsid w:val="006352BF"/>
    <w:rsid w:val="00635960"/>
    <w:rsid w:val="00635D9B"/>
    <w:rsid w:val="0063686E"/>
    <w:rsid w:val="00636893"/>
    <w:rsid w:val="00637439"/>
    <w:rsid w:val="006374E3"/>
    <w:rsid w:val="006376A5"/>
    <w:rsid w:val="00637AF9"/>
    <w:rsid w:val="006401B4"/>
    <w:rsid w:val="0064064B"/>
    <w:rsid w:val="006407A5"/>
    <w:rsid w:val="00640C7E"/>
    <w:rsid w:val="00640C89"/>
    <w:rsid w:val="00640F32"/>
    <w:rsid w:val="006413E3"/>
    <w:rsid w:val="00641909"/>
    <w:rsid w:val="006421F7"/>
    <w:rsid w:val="00642400"/>
    <w:rsid w:val="006425DA"/>
    <w:rsid w:val="006430F8"/>
    <w:rsid w:val="0064357B"/>
    <w:rsid w:val="00643853"/>
    <w:rsid w:val="00644313"/>
    <w:rsid w:val="006447C6"/>
    <w:rsid w:val="006447F7"/>
    <w:rsid w:val="006453E2"/>
    <w:rsid w:val="006457BF"/>
    <w:rsid w:val="006458BA"/>
    <w:rsid w:val="00645AB5"/>
    <w:rsid w:val="00645F48"/>
    <w:rsid w:val="006466E5"/>
    <w:rsid w:val="00646EBE"/>
    <w:rsid w:val="006500A7"/>
    <w:rsid w:val="006500D1"/>
    <w:rsid w:val="00650304"/>
    <w:rsid w:val="0065168B"/>
    <w:rsid w:val="00651C4D"/>
    <w:rsid w:val="0065249B"/>
    <w:rsid w:val="0065289F"/>
    <w:rsid w:val="00652D5F"/>
    <w:rsid w:val="00653050"/>
    <w:rsid w:val="00653205"/>
    <w:rsid w:val="00653374"/>
    <w:rsid w:val="0065389E"/>
    <w:rsid w:val="00653AD5"/>
    <w:rsid w:val="00653CCE"/>
    <w:rsid w:val="00653F47"/>
    <w:rsid w:val="0065405B"/>
    <w:rsid w:val="006548EE"/>
    <w:rsid w:val="006558C8"/>
    <w:rsid w:val="00655980"/>
    <w:rsid w:val="00655FED"/>
    <w:rsid w:val="006561A2"/>
    <w:rsid w:val="00656C90"/>
    <w:rsid w:val="00656EA8"/>
    <w:rsid w:val="00657346"/>
    <w:rsid w:val="0065735E"/>
    <w:rsid w:val="00657CFC"/>
    <w:rsid w:val="00657DBE"/>
    <w:rsid w:val="006602F5"/>
    <w:rsid w:val="00660F9D"/>
    <w:rsid w:val="00661013"/>
    <w:rsid w:val="00661771"/>
    <w:rsid w:val="00661E77"/>
    <w:rsid w:val="0066240D"/>
    <w:rsid w:val="006626F8"/>
    <w:rsid w:val="006626FE"/>
    <w:rsid w:val="00662771"/>
    <w:rsid w:val="006629B7"/>
    <w:rsid w:val="00663302"/>
    <w:rsid w:val="0066335A"/>
    <w:rsid w:val="006634DB"/>
    <w:rsid w:val="0066382C"/>
    <w:rsid w:val="00664140"/>
    <w:rsid w:val="00664582"/>
    <w:rsid w:val="006645A8"/>
    <w:rsid w:val="006649B2"/>
    <w:rsid w:val="0066604F"/>
    <w:rsid w:val="0066616D"/>
    <w:rsid w:val="00666D33"/>
    <w:rsid w:val="006676C3"/>
    <w:rsid w:val="00667F06"/>
    <w:rsid w:val="00670425"/>
    <w:rsid w:val="006704F5"/>
    <w:rsid w:val="006706E4"/>
    <w:rsid w:val="00670824"/>
    <w:rsid w:val="00670BE5"/>
    <w:rsid w:val="00670C16"/>
    <w:rsid w:val="00671028"/>
    <w:rsid w:val="00671577"/>
    <w:rsid w:val="00671AFC"/>
    <w:rsid w:val="00671CC6"/>
    <w:rsid w:val="00671E0C"/>
    <w:rsid w:val="00671F54"/>
    <w:rsid w:val="00671F78"/>
    <w:rsid w:val="0067227F"/>
    <w:rsid w:val="0067250E"/>
    <w:rsid w:val="006726A4"/>
    <w:rsid w:val="006728BB"/>
    <w:rsid w:val="0067299B"/>
    <w:rsid w:val="00672A3A"/>
    <w:rsid w:val="00672A6E"/>
    <w:rsid w:val="00672EBA"/>
    <w:rsid w:val="00672EC3"/>
    <w:rsid w:val="006736CA"/>
    <w:rsid w:val="00673B4D"/>
    <w:rsid w:val="00673F67"/>
    <w:rsid w:val="0067425E"/>
    <w:rsid w:val="0067456D"/>
    <w:rsid w:val="0067460A"/>
    <w:rsid w:val="00674680"/>
    <w:rsid w:val="00674D1B"/>
    <w:rsid w:val="006760BB"/>
    <w:rsid w:val="006760E8"/>
    <w:rsid w:val="006761D8"/>
    <w:rsid w:val="00676BA7"/>
    <w:rsid w:val="00677205"/>
    <w:rsid w:val="006801CE"/>
    <w:rsid w:val="006806BD"/>
    <w:rsid w:val="006807A1"/>
    <w:rsid w:val="006808A7"/>
    <w:rsid w:val="00680D25"/>
    <w:rsid w:val="006810E2"/>
    <w:rsid w:val="006812A6"/>
    <w:rsid w:val="006816B7"/>
    <w:rsid w:val="0068182C"/>
    <w:rsid w:val="006819BD"/>
    <w:rsid w:val="006821DD"/>
    <w:rsid w:val="00682EBB"/>
    <w:rsid w:val="006838C8"/>
    <w:rsid w:val="006838D1"/>
    <w:rsid w:val="00683AB9"/>
    <w:rsid w:val="00684042"/>
    <w:rsid w:val="006841F3"/>
    <w:rsid w:val="006847A1"/>
    <w:rsid w:val="006847D2"/>
    <w:rsid w:val="00684DB0"/>
    <w:rsid w:val="006857A7"/>
    <w:rsid w:val="006857F7"/>
    <w:rsid w:val="006859F3"/>
    <w:rsid w:val="00685A10"/>
    <w:rsid w:val="00686704"/>
    <w:rsid w:val="00686DEC"/>
    <w:rsid w:val="00686F09"/>
    <w:rsid w:val="006872CC"/>
    <w:rsid w:val="0068745D"/>
    <w:rsid w:val="0068757F"/>
    <w:rsid w:val="00690344"/>
    <w:rsid w:val="0069045E"/>
    <w:rsid w:val="006908C3"/>
    <w:rsid w:val="006910E5"/>
    <w:rsid w:val="00691BC6"/>
    <w:rsid w:val="00691D6E"/>
    <w:rsid w:val="00691E26"/>
    <w:rsid w:val="00691EC0"/>
    <w:rsid w:val="0069204C"/>
    <w:rsid w:val="00692643"/>
    <w:rsid w:val="00692F71"/>
    <w:rsid w:val="006931DD"/>
    <w:rsid w:val="0069363C"/>
    <w:rsid w:val="0069388E"/>
    <w:rsid w:val="006938D4"/>
    <w:rsid w:val="00693CAB"/>
    <w:rsid w:val="00693E90"/>
    <w:rsid w:val="006943B5"/>
    <w:rsid w:val="006946AB"/>
    <w:rsid w:val="006947DD"/>
    <w:rsid w:val="0069496B"/>
    <w:rsid w:val="0069505F"/>
    <w:rsid w:val="00695499"/>
    <w:rsid w:val="006954FC"/>
    <w:rsid w:val="006959C3"/>
    <w:rsid w:val="00695B9D"/>
    <w:rsid w:val="0069693D"/>
    <w:rsid w:val="00696D20"/>
    <w:rsid w:val="006972EE"/>
    <w:rsid w:val="006973CF"/>
    <w:rsid w:val="006A050E"/>
    <w:rsid w:val="006A06EA"/>
    <w:rsid w:val="006A0B3E"/>
    <w:rsid w:val="006A12B7"/>
    <w:rsid w:val="006A15F2"/>
    <w:rsid w:val="006A1600"/>
    <w:rsid w:val="006A1A31"/>
    <w:rsid w:val="006A1CD1"/>
    <w:rsid w:val="006A1D8E"/>
    <w:rsid w:val="006A1FDA"/>
    <w:rsid w:val="006A2856"/>
    <w:rsid w:val="006A2D93"/>
    <w:rsid w:val="006A2F1F"/>
    <w:rsid w:val="006A30BF"/>
    <w:rsid w:val="006A3380"/>
    <w:rsid w:val="006A3640"/>
    <w:rsid w:val="006A3C5A"/>
    <w:rsid w:val="006A405B"/>
    <w:rsid w:val="006A40C1"/>
    <w:rsid w:val="006A4486"/>
    <w:rsid w:val="006A4E29"/>
    <w:rsid w:val="006A54C3"/>
    <w:rsid w:val="006A5CB8"/>
    <w:rsid w:val="006A62AA"/>
    <w:rsid w:val="006A635F"/>
    <w:rsid w:val="006A6519"/>
    <w:rsid w:val="006A68B8"/>
    <w:rsid w:val="006A6A18"/>
    <w:rsid w:val="006A6F2B"/>
    <w:rsid w:val="006A78C0"/>
    <w:rsid w:val="006A7E1D"/>
    <w:rsid w:val="006A7ECD"/>
    <w:rsid w:val="006B04A7"/>
    <w:rsid w:val="006B0681"/>
    <w:rsid w:val="006B09CA"/>
    <w:rsid w:val="006B1A93"/>
    <w:rsid w:val="006B1FBB"/>
    <w:rsid w:val="006B209B"/>
    <w:rsid w:val="006B20A0"/>
    <w:rsid w:val="006B24BD"/>
    <w:rsid w:val="006B24FD"/>
    <w:rsid w:val="006B259C"/>
    <w:rsid w:val="006B2709"/>
    <w:rsid w:val="006B31F4"/>
    <w:rsid w:val="006B3AF3"/>
    <w:rsid w:val="006B3DBD"/>
    <w:rsid w:val="006B4879"/>
    <w:rsid w:val="006B4AD0"/>
    <w:rsid w:val="006B544A"/>
    <w:rsid w:val="006B57CB"/>
    <w:rsid w:val="006B5ADD"/>
    <w:rsid w:val="006B5E64"/>
    <w:rsid w:val="006B628A"/>
    <w:rsid w:val="006B678C"/>
    <w:rsid w:val="006B6B4B"/>
    <w:rsid w:val="006B6BA4"/>
    <w:rsid w:val="006B73F2"/>
    <w:rsid w:val="006B77F8"/>
    <w:rsid w:val="006C01FF"/>
    <w:rsid w:val="006C03AF"/>
    <w:rsid w:val="006C068F"/>
    <w:rsid w:val="006C06E2"/>
    <w:rsid w:val="006C0C18"/>
    <w:rsid w:val="006C0C99"/>
    <w:rsid w:val="006C0E3D"/>
    <w:rsid w:val="006C0E54"/>
    <w:rsid w:val="006C0F8A"/>
    <w:rsid w:val="006C1199"/>
    <w:rsid w:val="006C13A3"/>
    <w:rsid w:val="006C177D"/>
    <w:rsid w:val="006C1DA1"/>
    <w:rsid w:val="006C201E"/>
    <w:rsid w:val="006C2081"/>
    <w:rsid w:val="006C29EB"/>
    <w:rsid w:val="006C2A71"/>
    <w:rsid w:val="006C32A4"/>
    <w:rsid w:val="006C3ABB"/>
    <w:rsid w:val="006C3C77"/>
    <w:rsid w:val="006C3ECE"/>
    <w:rsid w:val="006C4097"/>
    <w:rsid w:val="006C4125"/>
    <w:rsid w:val="006C41DB"/>
    <w:rsid w:val="006C48C5"/>
    <w:rsid w:val="006C4ED7"/>
    <w:rsid w:val="006C58B1"/>
    <w:rsid w:val="006C6386"/>
    <w:rsid w:val="006C7070"/>
    <w:rsid w:val="006C70CD"/>
    <w:rsid w:val="006D0057"/>
    <w:rsid w:val="006D0210"/>
    <w:rsid w:val="006D0A60"/>
    <w:rsid w:val="006D0B1A"/>
    <w:rsid w:val="006D17BB"/>
    <w:rsid w:val="006D1A15"/>
    <w:rsid w:val="006D1A3F"/>
    <w:rsid w:val="006D254C"/>
    <w:rsid w:val="006D2636"/>
    <w:rsid w:val="006D2637"/>
    <w:rsid w:val="006D2722"/>
    <w:rsid w:val="006D2906"/>
    <w:rsid w:val="006D35F0"/>
    <w:rsid w:val="006D3659"/>
    <w:rsid w:val="006D4097"/>
    <w:rsid w:val="006D4468"/>
    <w:rsid w:val="006D55EA"/>
    <w:rsid w:val="006D5C90"/>
    <w:rsid w:val="006D6FD7"/>
    <w:rsid w:val="006D7ACA"/>
    <w:rsid w:val="006D7C7E"/>
    <w:rsid w:val="006E0739"/>
    <w:rsid w:val="006E088B"/>
    <w:rsid w:val="006E195B"/>
    <w:rsid w:val="006E1AE9"/>
    <w:rsid w:val="006E2424"/>
    <w:rsid w:val="006E2602"/>
    <w:rsid w:val="006E2834"/>
    <w:rsid w:val="006E285B"/>
    <w:rsid w:val="006E2A8A"/>
    <w:rsid w:val="006E3736"/>
    <w:rsid w:val="006E3B59"/>
    <w:rsid w:val="006E3B71"/>
    <w:rsid w:val="006E3C0E"/>
    <w:rsid w:val="006E3FFB"/>
    <w:rsid w:val="006E40D7"/>
    <w:rsid w:val="006E4924"/>
    <w:rsid w:val="006E4AC3"/>
    <w:rsid w:val="006E4D5C"/>
    <w:rsid w:val="006E4DBC"/>
    <w:rsid w:val="006E51D9"/>
    <w:rsid w:val="006E5647"/>
    <w:rsid w:val="006E5930"/>
    <w:rsid w:val="006E6612"/>
    <w:rsid w:val="006E68DA"/>
    <w:rsid w:val="006E6A63"/>
    <w:rsid w:val="006E6F7F"/>
    <w:rsid w:val="006E70AA"/>
    <w:rsid w:val="006E7BAD"/>
    <w:rsid w:val="006E7D7C"/>
    <w:rsid w:val="006E7FAC"/>
    <w:rsid w:val="006F0268"/>
    <w:rsid w:val="006F03D7"/>
    <w:rsid w:val="006F0D99"/>
    <w:rsid w:val="006F0F02"/>
    <w:rsid w:val="006F0FF0"/>
    <w:rsid w:val="006F1072"/>
    <w:rsid w:val="006F11F4"/>
    <w:rsid w:val="006F1824"/>
    <w:rsid w:val="006F1BD4"/>
    <w:rsid w:val="006F203C"/>
    <w:rsid w:val="006F334B"/>
    <w:rsid w:val="006F37FB"/>
    <w:rsid w:val="006F45A7"/>
    <w:rsid w:val="006F4F3F"/>
    <w:rsid w:val="006F513D"/>
    <w:rsid w:val="006F5748"/>
    <w:rsid w:val="006F58A8"/>
    <w:rsid w:val="006F6171"/>
    <w:rsid w:val="006F6525"/>
    <w:rsid w:val="006F70C2"/>
    <w:rsid w:val="007002EC"/>
    <w:rsid w:val="00700634"/>
    <w:rsid w:val="0070083C"/>
    <w:rsid w:val="00700D80"/>
    <w:rsid w:val="0070152C"/>
    <w:rsid w:val="0070160C"/>
    <w:rsid w:val="00701AB3"/>
    <w:rsid w:val="00701E23"/>
    <w:rsid w:val="0070272A"/>
    <w:rsid w:val="00702F28"/>
    <w:rsid w:val="007032A8"/>
    <w:rsid w:val="00704198"/>
    <w:rsid w:val="007042E0"/>
    <w:rsid w:val="00704545"/>
    <w:rsid w:val="00704CE3"/>
    <w:rsid w:val="00705743"/>
    <w:rsid w:val="00706208"/>
    <w:rsid w:val="00706ED2"/>
    <w:rsid w:val="00707CCB"/>
    <w:rsid w:val="00710321"/>
    <w:rsid w:val="007104B0"/>
    <w:rsid w:val="007104E4"/>
    <w:rsid w:val="00710825"/>
    <w:rsid w:val="00710A66"/>
    <w:rsid w:val="007113AC"/>
    <w:rsid w:val="00711431"/>
    <w:rsid w:val="00711A7F"/>
    <w:rsid w:val="00711AB3"/>
    <w:rsid w:val="007122D9"/>
    <w:rsid w:val="00712ACA"/>
    <w:rsid w:val="00713269"/>
    <w:rsid w:val="0071335B"/>
    <w:rsid w:val="00714104"/>
    <w:rsid w:val="0071450F"/>
    <w:rsid w:val="0071490C"/>
    <w:rsid w:val="00714EA2"/>
    <w:rsid w:val="00714EF6"/>
    <w:rsid w:val="007152B3"/>
    <w:rsid w:val="007155E1"/>
    <w:rsid w:val="00715D98"/>
    <w:rsid w:val="0071600B"/>
    <w:rsid w:val="007161A2"/>
    <w:rsid w:val="007161A9"/>
    <w:rsid w:val="00716E36"/>
    <w:rsid w:val="007173FC"/>
    <w:rsid w:val="00717559"/>
    <w:rsid w:val="00717F6B"/>
    <w:rsid w:val="0072005B"/>
    <w:rsid w:val="0072013C"/>
    <w:rsid w:val="0072146C"/>
    <w:rsid w:val="0072158D"/>
    <w:rsid w:val="00721759"/>
    <w:rsid w:val="00721B3D"/>
    <w:rsid w:val="0072240B"/>
    <w:rsid w:val="007227E7"/>
    <w:rsid w:val="00722A4E"/>
    <w:rsid w:val="007232E6"/>
    <w:rsid w:val="00723A03"/>
    <w:rsid w:val="00723C2D"/>
    <w:rsid w:val="0072438A"/>
    <w:rsid w:val="007250D1"/>
    <w:rsid w:val="007253CE"/>
    <w:rsid w:val="00725CB3"/>
    <w:rsid w:val="00726022"/>
    <w:rsid w:val="00726091"/>
    <w:rsid w:val="00726515"/>
    <w:rsid w:val="00727802"/>
    <w:rsid w:val="0072780B"/>
    <w:rsid w:val="00727942"/>
    <w:rsid w:val="00727A1D"/>
    <w:rsid w:val="00727B47"/>
    <w:rsid w:val="00727E08"/>
    <w:rsid w:val="00727F07"/>
    <w:rsid w:val="007302BB"/>
    <w:rsid w:val="00731545"/>
    <w:rsid w:val="007320FC"/>
    <w:rsid w:val="007322BA"/>
    <w:rsid w:val="00732857"/>
    <w:rsid w:val="0073399D"/>
    <w:rsid w:val="00734263"/>
    <w:rsid w:val="007343C1"/>
    <w:rsid w:val="00734688"/>
    <w:rsid w:val="00734BE0"/>
    <w:rsid w:val="00734D78"/>
    <w:rsid w:val="0073521B"/>
    <w:rsid w:val="00735670"/>
    <w:rsid w:val="00735DD3"/>
    <w:rsid w:val="00735EDD"/>
    <w:rsid w:val="00736288"/>
    <w:rsid w:val="00736921"/>
    <w:rsid w:val="00736E82"/>
    <w:rsid w:val="00736EE2"/>
    <w:rsid w:val="00736FD6"/>
    <w:rsid w:val="007377F4"/>
    <w:rsid w:val="00737FF9"/>
    <w:rsid w:val="0074008F"/>
    <w:rsid w:val="0074035A"/>
    <w:rsid w:val="007405F5"/>
    <w:rsid w:val="007409C7"/>
    <w:rsid w:val="00740FE2"/>
    <w:rsid w:val="0074118A"/>
    <w:rsid w:val="0074128B"/>
    <w:rsid w:val="0074132C"/>
    <w:rsid w:val="00741607"/>
    <w:rsid w:val="00741D83"/>
    <w:rsid w:val="00741E24"/>
    <w:rsid w:val="00741FB5"/>
    <w:rsid w:val="0074247F"/>
    <w:rsid w:val="007426A7"/>
    <w:rsid w:val="00743137"/>
    <w:rsid w:val="0074334C"/>
    <w:rsid w:val="0074346B"/>
    <w:rsid w:val="0074348E"/>
    <w:rsid w:val="007435DE"/>
    <w:rsid w:val="0074365B"/>
    <w:rsid w:val="00743C27"/>
    <w:rsid w:val="007444C3"/>
    <w:rsid w:val="00744B80"/>
    <w:rsid w:val="00744C68"/>
    <w:rsid w:val="00746201"/>
    <w:rsid w:val="0074636C"/>
    <w:rsid w:val="00746776"/>
    <w:rsid w:val="007467D2"/>
    <w:rsid w:val="00746C14"/>
    <w:rsid w:val="007478A0"/>
    <w:rsid w:val="00747C7F"/>
    <w:rsid w:val="007502B3"/>
    <w:rsid w:val="007506BD"/>
    <w:rsid w:val="0075079F"/>
    <w:rsid w:val="00750A25"/>
    <w:rsid w:val="00750E38"/>
    <w:rsid w:val="0075259E"/>
    <w:rsid w:val="007525CD"/>
    <w:rsid w:val="007526D2"/>
    <w:rsid w:val="007526DB"/>
    <w:rsid w:val="007527E7"/>
    <w:rsid w:val="007528C7"/>
    <w:rsid w:val="00753060"/>
    <w:rsid w:val="007532A9"/>
    <w:rsid w:val="0075332E"/>
    <w:rsid w:val="007534C8"/>
    <w:rsid w:val="00753960"/>
    <w:rsid w:val="00753FD8"/>
    <w:rsid w:val="00754792"/>
    <w:rsid w:val="00755CF2"/>
    <w:rsid w:val="00756138"/>
    <w:rsid w:val="0075669A"/>
    <w:rsid w:val="00756D30"/>
    <w:rsid w:val="00756FFB"/>
    <w:rsid w:val="007571A9"/>
    <w:rsid w:val="00757236"/>
    <w:rsid w:val="00757361"/>
    <w:rsid w:val="00757676"/>
    <w:rsid w:val="00757784"/>
    <w:rsid w:val="00757ADC"/>
    <w:rsid w:val="00757E30"/>
    <w:rsid w:val="0076008A"/>
    <w:rsid w:val="007602CC"/>
    <w:rsid w:val="0076132D"/>
    <w:rsid w:val="007615FF"/>
    <w:rsid w:val="00762395"/>
    <w:rsid w:val="00763EC5"/>
    <w:rsid w:val="00764566"/>
    <w:rsid w:val="007651CE"/>
    <w:rsid w:val="0076634D"/>
    <w:rsid w:val="007669D9"/>
    <w:rsid w:val="00770326"/>
    <w:rsid w:val="00770AF1"/>
    <w:rsid w:val="00770C10"/>
    <w:rsid w:val="00770EB4"/>
    <w:rsid w:val="00770FE6"/>
    <w:rsid w:val="00771168"/>
    <w:rsid w:val="0077136F"/>
    <w:rsid w:val="007714E6"/>
    <w:rsid w:val="007716CD"/>
    <w:rsid w:val="0077176E"/>
    <w:rsid w:val="00772081"/>
    <w:rsid w:val="007729B1"/>
    <w:rsid w:val="00772A75"/>
    <w:rsid w:val="007738ED"/>
    <w:rsid w:val="00774CE9"/>
    <w:rsid w:val="00775510"/>
    <w:rsid w:val="00775DD3"/>
    <w:rsid w:val="00776569"/>
    <w:rsid w:val="00776699"/>
    <w:rsid w:val="007767DF"/>
    <w:rsid w:val="00776CD1"/>
    <w:rsid w:val="00777149"/>
    <w:rsid w:val="00777690"/>
    <w:rsid w:val="007779C8"/>
    <w:rsid w:val="0078017D"/>
    <w:rsid w:val="007802AB"/>
    <w:rsid w:val="007809BF"/>
    <w:rsid w:val="00780A02"/>
    <w:rsid w:val="00780A20"/>
    <w:rsid w:val="00780FC6"/>
    <w:rsid w:val="00781331"/>
    <w:rsid w:val="0078141C"/>
    <w:rsid w:val="007815FD"/>
    <w:rsid w:val="00782309"/>
    <w:rsid w:val="00782388"/>
    <w:rsid w:val="007823E9"/>
    <w:rsid w:val="00782609"/>
    <w:rsid w:val="00782767"/>
    <w:rsid w:val="00782B08"/>
    <w:rsid w:val="007846D3"/>
    <w:rsid w:val="00784776"/>
    <w:rsid w:val="00784C3A"/>
    <w:rsid w:val="0078632F"/>
    <w:rsid w:val="00786649"/>
    <w:rsid w:val="007867CE"/>
    <w:rsid w:val="00786B10"/>
    <w:rsid w:val="00786C76"/>
    <w:rsid w:val="00786E36"/>
    <w:rsid w:val="0078705A"/>
    <w:rsid w:val="00787A50"/>
    <w:rsid w:val="00790142"/>
    <w:rsid w:val="0079024B"/>
    <w:rsid w:val="00790C31"/>
    <w:rsid w:val="00791175"/>
    <w:rsid w:val="007911CD"/>
    <w:rsid w:val="0079161D"/>
    <w:rsid w:val="00791BC6"/>
    <w:rsid w:val="00791DBE"/>
    <w:rsid w:val="00791ED1"/>
    <w:rsid w:val="00791F2F"/>
    <w:rsid w:val="007924B0"/>
    <w:rsid w:val="0079268A"/>
    <w:rsid w:val="0079324A"/>
    <w:rsid w:val="007933F0"/>
    <w:rsid w:val="00793C0E"/>
    <w:rsid w:val="00793CF2"/>
    <w:rsid w:val="007941CE"/>
    <w:rsid w:val="0079421B"/>
    <w:rsid w:val="0079452D"/>
    <w:rsid w:val="0079471A"/>
    <w:rsid w:val="00794FEE"/>
    <w:rsid w:val="00795717"/>
    <w:rsid w:val="0079581F"/>
    <w:rsid w:val="00795EBF"/>
    <w:rsid w:val="00797292"/>
    <w:rsid w:val="00797412"/>
    <w:rsid w:val="007978C8"/>
    <w:rsid w:val="00797985"/>
    <w:rsid w:val="00797B2C"/>
    <w:rsid w:val="007A051B"/>
    <w:rsid w:val="007A110E"/>
    <w:rsid w:val="007A1450"/>
    <w:rsid w:val="007A154B"/>
    <w:rsid w:val="007A1EDF"/>
    <w:rsid w:val="007A2658"/>
    <w:rsid w:val="007A35ED"/>
    <w:rsid w:val="007A36A5"/>
    <w:rsid w:val="007A3922"/>
    <w:rsid w:val="007A4039"/>
    <w:rsid w:val="007A4A19"/>
    <w:rsid w:val="007A4A89"/>
    <w:rsid w:val="007A4DF9"/>
    <w:rsid w:val="007A54E0"/>
    <w:rsid w:val="007A6041"/>
    <w:rsid w:val="007A626E"/>
    <w:rsid w:val="007A70BA"/>
    <w:rsid w:val="007A7139"/>
    <w:rsid w:val="007A7307"/>
    <w:rsid w:val="007A74C9"/>
    <w:rsid w:val="007A77FC"/>
    <w:rsid w:val="007A78EF"/>
    <w:rsid w:val="007A7917"/>
    <w:rsid w:val="007A7947"/>
    <w:rsid w:val="007A79DB"/>
    <w:rsid w:val="007A7C1A"/>
    <w:rsid w:val="007A7E84"/>
    <w:rsid w:val="007B01FB"/>
    <w:rsid w:val="007B0325"/>
    <w:rsid w:val="007B0500"/>
    <w:rsid w:val="007B0693"/>
    <w:rsid w:val="007B0694"/>
    <w:rsid w:val="007B0AB7"/>
    <w:rsid w:val="007B0D6C"/>
    <w:rsid w:val="007B114B"/>
    <w:rsid w:val="007B1396"/>
    <w:rsid w:val="007B1AF7"/>
    <w:rsid w:val="007B1B6E"/>
    <w:rsid w:val="007B1C4F"/>
    <w:rsid w:val="007B264C"/>
    <w:rsid w:val="007B27F5"/>
    <w:rsid w:val="007B357E"/>
    <w:rsid w:val="007B3685"/>
    <w:rsid w:val="007B3695"/>
    <w:rsid w:val="007B3833"/>
    <w:rsid w:val="007B41AA"/>
    <w:rsid w:val="007B4719"/>
    <w:rsid w:val="007B4D4B"/>
    <w:rsid w:val="007B547B"/>
    <w:rsid w:val="007B6478"/>
    <w:rsid w:val="007B6FC5"/>
    <w:rsid w:val="007B73E9"/>
    <w:rsid w:val="007B77B0"/>
    <w:rsid w:val="007B7B97"/>
    <w:rsid w:val="007C050A"/>
    <w:rsid w:val="007C087B"/>
    <w:rsid w:val="007C0F0F"/>
    <w:rsid w:val="007C1176"/>
    <w:rsid w:val="007C1A80"/>
    <w:rsid w:val="007C20F5"/>
    <w:rsid w:val="007C2108"/>
    <w:rsid w:val="007C2306"/>
    <w:rsid w:val="007C3043"/>
    <w:rsid w:val="007C43A9"/>
    <w:rsid w:val="007C499B"/>
    <w:rsid w:val="007C49EA"/>
    <w:rsid w:val="007C4C3F"/>
    <w:rsid w:val="007C4C87"/>
    <w:rsid w:val="007C5454"/>
    <w:rsid w:val="007C6469"/>
    <w:rsid w:val="007C6A44"/>
    <w:rsid w:val="007C6BDD"/>
    <w:rsid w:val="007C70FC"/>
    <w:rsid w:val="007C77D2"/>
    <w:rsid w:val="007C7AD3"/>
    <w:rsid w:val="007C7F6B"/>
    <w:rsid w:val="007D04B3"/>
    <w:rsid w:val="007D04B8"/>
    <w:rsid w:val="007D0D0E"/>
    <w:rsid w:val="007D1402"/>
    <w:rsid w:val="007D14B0"/>
    <w:rsid w:val="007D1951"/>
    <w:rsid w:val="007D1ED2"/>
    <w:rsid w:val="007D20D8"/>
    <w:rsid w:val="007D2716"/>
    <w:rsid w:val="007D2F4B"/>
    <w:rsid w:val="007D31D4"/>
    <w:rsid w:val="007D32F6"/>
    <w:rsid w:val="007D3B09"/>
    <w:rsid w:val="007D3D4E"/>
    <w:rsid w:val="007D4145"/>
    <w:rsid w:val="007D4256"/>
    <w:rsid w:val="007D42B3"/>
    <w:rsid w:val="007D441F"/>
    <w:rsid w:val="007D4698"/>
    <w:rsid w:val="007D59EA"/>
    <w:rsid w:val="007D5ECB"/>
    <w:rsid w:val="007D6213"/>
    <w:rsid w:val="007D6222"/>
    <w:rsid w:val="007D6584"/>
    <w:rsid w:val="007D78B8"/>
    <w:rsid w:val="007D79A0"/>
    <w:rsid w:val="007D7D90"/>
    <w:rsid w:val="007E077E"/>
    <w:rsid w:val="007E087D"/>
    <w:rsid w:val="007E0F8C"/>
    <w:rsid w:val="007E21C0"/>
    <w:rsid w:val="007E23CF"/>
    <w:rsid w:val="007E23F5"/>
    <w:rsid w:val="007E2700"/>
    <w:rsid w:val="007E294D"/>
    <w:rsid w:val="007E2F7E"/>
    <w:rsid w:val="007E3027"/>
    <w:rsid w:val="007E33C6"/>
    <w:rsid w:val="007E35BB"/>
    <w:rsid w:val="007E3794"/>
    <w:rsid w:val="007E3C22"/>
    <w:rsid w:val="007E3E4D"/>
    <w:rsid w:val="007E476B"/>
    <w:rsid w:val="007E4D92"/>
    <w:rsid w:val="007E5594"/>
    <w:rsid w:val="007E5A69"/>
    <w:rsid w:val="007E607D"/>
    <w:rsid w:val="007E6153"/>
    <w:rsid w:val="007E6263"/>
    <w:rsid w:val="007E6309"/>
    <w:rsid w:val="007E6427"/>
    <w:rsid w:val="007E682C"/>
    <w:rsid w:val="007E6B85"/>
    <w:rsid w:val="007E6E26"/>
    <w:rsid w:val="007E6FDB"/>
    <w:rsid w:val="007E7008"/>
    <w:rsid w:val="007E79DC"/>
    <w:rsid w:val="007E7AEA"/>
    <w:rsid w:val="007F0188"/>
    <w:rsid w:val="007F01AF"/>
    <w:rsid w:val="007F0743"/>
    <w:rsid w:val="007F149D"/>
    <w:rsid w:val="007F1A55"/>
    <w:rsid w:val="007F2AE4"/>
    <w:rsid w:val="007F2FB4"/>
    <w:rsid w:val="007F30E1"/>
    <w:rsid w:val="007F3110"/>
    <w:rsid w:val="007F45BB"/>
    <w:rsid w:val="007F46AB"/>
    <w:rsid w:val="007F551D"/>
    <w:rsid w:val="007F566F"/>
    <w:rsid w:val="007F5832"/>
    <w:rsid w:val="007F5970"/>
    <w:rsid w:val="007F6CE8"/>
    <w:rsid w:val="007F6D18"/>
    <w:rsid w:val="007F74AD"/>
    <w:rsid w:val="007F79F1"/>
    <w:rsid w:val="0080005D"/>
    <w:rsid w:val="008000CD"/>
    <w:rsid w:val="00800563"/>
    <w:rsid w:val="00800CFF"/>
    <w:rsid w:val="00800F63"/>
    <w:rsid w:val="008014AA"/>
    <w:rsid w:val="008026F4"/>
    <w:rsid w:val="0080291B"/>
    <w:rsid w:val="00802E4A"/>
    <w:rsid w:val="00803216"/>
    <w:rsid w:val="00803604"/>
    <w:rsid w:val="00803741"/>
    <w:rsid w:val="00803910"/>
    <w:rsid w:val="00803D2A"/>
    <w:rsid w:val="00803E7B"/>
    <w:rsid w:val="0080436A"/>
    <w:rsid w:val="008044D5"/>
    <w:rsid w:val="008047D7"/>
    <w:rsid w:val="008048AE"/>
    <w:rsid w:val="00804BD2"/>
    <w:rsid w:val="00804ED8"/>
    <w:rsid w:val="00804F31"/>
    <w:rsid w:val="008055A7"/>
    <w:rsid w:val="00805C72"/>
    <w:rsid w:val="0080602C"/>
    <w:rsid w:val="008062D5"/>
    <w:rsid w:val="00806A74"/>
    <w:rsid w:val="008079DE"/>
    <w:rsid w:val="00807CBE"/>
    <w:rsid w:val="00807D7D"/>
    <w:rsid w:val="00810197"/>
    <w:rsid w:val="00810E9F"/>
    <w:rsid w:val="00810EF6"/>
    <w:rsid w:val="00811200"/>
    <w:rsid w:val="008114A4"/>
    <w:rsid w:val="00811934"/>
    <w:rsid w:val="00811CD0"/>
    <w:rsid w:val="00811D0A"/>
    <w:rsid w:val="008124AF"/>
    <w:rsid w:val="0081254B"/>
    <w:rsid w:val="00812993"/>
    <w:rsid w:val="00812C8D"/>
    <w:rsid w:val="00812D7B"/>
    <w:rsid w:val="008139A3"/>
    <w:rsid w:val="008143DE"/>
    <w:rsid w:val="00814629"/>
    <w:rsid w:val="00814702"/>
    <w:rsid w:val="0081519A"/>
    <w:rsid w:val="00815DAD"/>
    <w:rsid w:val="008165D1"/>
    <w:rsid w:val="008172B3"/>
    <w:rsid w:val="00820FA6"/>
    <w:rsid w:val="00821001"/>
    <w:rsid w:val="0082138A"/>
    <w:rsid w:val="00821520"/>
    <w:rsid w:val="00821EA2"/>
    <w:rsid w:val="00821F04"/>
    <w:rsid w:val="00821F8A"/>
    <w:rsid w:val="00822042"/>
    <w:rsid w:val="0082212B"/>
    <w:rsid w:val="00822BC1"/>
    <w:rsid w:val="008236D6"/>
    <w:rsid w:val="00823C21"/>
    <w:rsid w:val="008244CB"/>
    <w:rsid w:val="00824598"/>
    <w:rsid w:val="00824847"/>
    <w:rsid w:val="00824A0F"/>
    <w:rsid w:val="008251A8"/>
    <w:rsid w:val="00825942"/>
    <w:rsid w:val="00825984"/>
    <w:rsid w:val="00826AEA"/>
    <w:rsid w:val="00826E83"/>
    <w:rsid w:val="00826F7E"/>
    <w:rsid w:val="00827303"/>
    <w:rsid w:val="0082752B"/>
    <w:rsid w:val="00827B56"/>
    <w:rsid w:val="00827BE4"/>
    <w:rsid w:val="00827E9C"/>
    <w:rsid w:val="00830789"/>
    <w:rsid w:val="00830C3D"/>
    <w:rsid w:val="00830EF0"/>
    <w:rsid w:val="008312B6"/>
    <w:rsid w:val="0083145D"/>
    <w:rsid w:val="00831988"/>
    <w:rsid w:val="00831A2E"/>
    <w:rsid w:val="00831CC0"/>
    <w:rsid w:val="008324A4"/>
    <w:rsid w:val="00832DD6"/>
    <w:rsid w:val="00832EAA"/>
    <w:rsid w:val="00832FC4"/>
    <w:rsid w:val="0083325B"/>
    <w:rsid w:val="008337A7"/>
    <w:rsid w:val="008338E3"/>
    <w:rsid w:val="00833A2B"/>
    <w:rsid w:val="00835CAA"/>
    <w:rsid w:val="00836248"/>
    <w:rsid w:val="008367F1"/>
    <w:rsid w:val="00836F12"/>
    <w:rsid w:val="00837678"/>
    <w:rsid w:val="00837691"/>
    <w:rsid w:val="00837A53"/>
    <w:rsid w:val="008402A9"/>
    <w:rsid w:val="00840A72"/>
    <w:rsid w:val="00841650"/>
    <w:rsid w:val="00841678"/>
    <w:rsid w:val="00841B53"/>
    <w:rsid w:val="00841BCD"/>
    <w:rsid w:val="00841D23"/>
    <w:rsid w:val="00841E29"/>
    <w:rsid w:val="00841E76"/>
    <w:rsid w:val="008431B7"/>
    <w:rsid w:val="00843EAF"/>
    <w:rsid w:val="008443A3"/>
    <w:rsid w:val="008447C0"/>
    <w:rsid w:val="008455B0"/>
    <w:rsid w:val="00845B99"/>
    <w:rsid w:val="00845E83"/>
    <w:rsid w:val="00846870"/>
    <w:rsid w:val="00847456"/>
    <w:rsid w:val="0084769C"/>
    <w:rsid w:val="008476E4"/>
    <w:rsid w:val="0084782B"/>
    <w:rsid w:val="00847DB3"/>
    <w:rsid w:val="008501FA"/>
    <w:rsid w:val="008503AB"/>
    <w:rsid w:val="00850BA6"/>
    <w:rsid w:val="00850ECF"/>
    <w:rsid w:val="00850F4E"/>
    <w:rsid w:val="00850FCB"/>
    <w:rsid w:val="00851220"/>
    <w:rsid w:val="00851595"/>
    <w:rsid w:val="00851A81"/>
    <w:rsid w:val="00851FBD"/>
    <w:rsid w:val="00852733"/>
    <w:rsid w:val="008527AB"/>
    <w:rsid w:val="008527EB"/>
    <w:rsid w:val="00852C21"/>
    <w:rsid w:val="00852CF3"/>
    <w:rsid w:val="0085394F"/>
    <w:rsid w:val="00853AB3"/>
    <w:rsid w:val="0085489B"/>
    <w:rsid w:val="00854FAF"/>
    <w:rsid w:val="00855252"/>
    <w:rsid w:val="008554EB"/>
    <w:rsid w:val="00855E13"/>
    <w:rsid w:val="00856C45"/>
    <w:rsid w:val="00856CB0"/>
    <w:rsid w:val="00856E22"/>
    <w:rsid w:val="008575BB"/>
    <w:rsid w:val="00857726"/>
    <w:rsid w:val="00857B3C"/>
    <w:rsid w:val="00857F16"/>
    <w:rsid w:val="0086002F"/>
    <w:rsid w:val="00860531"/>
    <w:rsid w:val="00860AB5"/>
    <w:rsid w:val="00860D17"/>
    <w:rsid w:val="00860F0B"/>
    <w:rsid w:val="00861123"/>
    <w:rsid w:val="008612A5"/>
    <w:rsid w:val="008614BA"/>
    <w:rsid w:val="00861A2A"/>
    <w:rsid w:val="00861E1C"/>
    <w:rsid w:val="0086211E"/>
    <w:rsid w:val="00862397"/>
    <w:rsid w:val="0086249D"/>
    <w:rsid w:val="00862664"/>
    <w:rsid w:val="00862AD0"/>
    <w:rsid w:val="00862F5C"/>
    <w:rsid w:val="008640BA"/>
    <w:rsid w:val="0086425A"/>
    <w:rsid w:val="008646D9"/>
    <w:rsid w:val="00864CCA"/>
    <w:rsid w:val="008656B9"/>
    <w:rsid w:val="008658AD"/>
    <w:rsid w:val="00865BC4"/>
    <w:rsid w:val="0086635D"/>
    <w:rsid w:val="008668C4"/>
    <w:rsid w:val="00866900"/>
    <w:rsid w:val="00866FC3"/>
    <w:rsid w:val="0086739B"/>
    <w:rsid w:val="00870137"/>
    <w:rsid w:val="00870557"/>
    <w:rsid w:val="008711D5"/>
    <w:rsid w:val="008719AC"/>
    <w:rsid w:val="00871F77"/>
    <w:rsid w:val="0087261F"/>
    <w:rsid w:val="0087278A"/>
    <w:rsid w:val="00873115"/>
    <w:rsid w:val="008739E2"/>
    <w:rsid w:val="00873C21"/>
    <w:rsid w:val="00873F46"/>
    <w:rsid w:val="008743A2"/>
    <w:rsid w:val="00874652"/>
    <w:rsid w:val="00874A3F"/>
    <w:rsid w:val="00875C70"/>
    <w:rsid w:val="00875F47"/>
    <w:rsid w:val="008767F8"/>
    <w:rsid w:val="00876ADD"/>
    <w:rsid w:val="0088078C"/>
    <w:rsid w:val="008809FA"/>
    <w:rsid w:val="00880ED1"/>
    <w:rsid w:val="00880EE7"/>
    <w:rsid w:val="008810D3"/>
    <w:rsid w:val="008813C7"/>
    <w:rsid w:val="0088156F"/>
    <w:rsid w:val="00881706"/>
    <w:rsid w:val="0088188A"/>
    <w:rsid w:val="00881956"/>
    <w:rsid w:val="00881976"/>
    <w:rsid w:val="00881980"/>
    <w:rsid w:val="0088228B"/>
    <w:rsid w:val="0088288F"/>
    <w:rsid w:val="00882F2F"/>
    <w:rsid w:val="00883031"/>
    <w:rsid w:val="00883458"/>
    <w:rsid w:val="00883A46"/>
    <w:rsid w:val="00883FFF"/>
    <w:rsid w:val="0088421A"/>
    <w:rsid w:val="008842DD"/>
    <w:rsid w:val="0088514C"/>
    <w:rsid w:val="00885C2E"/>
    <w:rsid w:val="00886241"/>
    <w:rsid w:val="0088659D"/>
    <w:rsid w:val="00886F35"/>
    <w:rsid w:val="00887921"/>
    <w:rsid w:val="008879C0"/>
    <w:rsid w:val="00890084"/>
    <w:rsid w:val="00890120"/>
    <w:rsid w:val="00890728"/>
    <w:rsid w:val="00890B86"/>
    <w:rsid w:val="00890EF2"/>
    <w:rsid w:val="0089127E"/>
    <w:rsid w:val="0089285E"/>
    <w:rsid w:val="00892944"/>
    <w:rsid w:val="00892EF0"/>
    <w:rsid w:val="00893285"/>
    <w:rsid w:val="0089344D"/>
    <w:rsid w:val="008934CB"/>
    <w:rsid w:val="008936AD"/>
    <w:rsid w:val="00893B52"/>
    <w:rsid w:val="008942CD"/>
    <w:rsid w:val="00894A17"/>
    <w:rsid w:val="00894C72"/>
    <w:rsid w:val="00894D98"/>
    <w:rsid w:val="0089665E"/>
    <w:rsid w:val="00896AA3"/>
    <w:rsid w:val="00896AAE"/>
    <w:rsid w:val="00896B51"/>
    <w:rsid w:val="00896B82"/>
    <w:rsid w:val="00896BBF"/>
    <w:rsid w:val="00897502"/>
    <w:rsid w:val="00897684"/>
    <w:rsid w:val="00897CD1"/>
    <w:rsid w:val="00897D75"/>
    <w:rsid w:val="00897DD0"/>
    <w:rsid w:val="008A0FF4"/>
    <w:rsid w:val="008A12E4"/>
    <w:rsid w:val="008A1F8D"/>
    <w:rsid w:val="008A2158"/>
    <w:rsid w:val="008A256C"/>
    <w:rsid w:val="008A27D2"/>
    <w:rsid w:val="008A2980"/>
    <w:rsid w:val="008A2CCB"/>
    <w:rsid w:val="008A3069"/>
    <w:rsid w:val="008A38B4"/>
    <w:rsid w:val="008A3B05"/>
    <w:rsid w:val="008A3B88"/>
    <w:rsid w:val="008A3C20"/>
    <w:rsid w:val="008A40CE"/>
    <w:rsid w:val="008A4C01"/>
    <w:rsid w:val="008A5BDD"/>
    <w:rsid w:val="008A5E56"/>
    <w:rsid w:val="008A661E"/>
    <w:rsid w:val="008A6AD5"/>
    <w:rsid w:val="008A7703"/>
    <w:rsid w:val="008A779F"/>
    <w:rsid w:val="008A7BBC"/>
    <w:rsid w:val="008B0100"/>
    <w:rsid w:val="008B01C2"/>
    <w:rsid w:val="008B060C"/>
    <w:rsid w:val="008B0F11"/>
    <w:rsid w:val="008B1855"/>
    <w:rsid w:val="008B2115"/>
    <w:rsid w:val="008B263C"/>
    <w:rsid w:val="008B293B"/>
    <w:rsid w:val="008B296D"/>
    <w:rsid w:val="008B2EA7"/>
    <w:rsid w:val="008B2F43"/>
    <w:rsid w:val="008B4409"/>
    <w:rsid w:val="008B45A5"/>
    <w:rsid w:val="008B4E3F"/>
    <w:rsid w:val="008B53DE"/>
    <w:rsid w:val="008B544A"/>
    <w:rsid w:val="008B61B8"/>
    <w:rsid w:val="008B64E4"/>
    <w:rsid w:val="008B6BEB"/>
    <w:rsid w:val="008B6D88"/>
    <w:rsid w:val="008B74FA"/>
    <w:rsid w:val="008B7956"/>
    <w:rsid w:val="008B7AF3"/>
    <w:rsid w:val="008B7FC2"/>
    <w:rsid w:val="008C02A0"/>
    <w:rsid w:val="008C18BE"/>
    <w:rsid w:val="008C1BC3"/>
    <w:rsid w:val="008C1E88"/>
    <w:rsid w:val="008C277F"/>
    <w:rsid w:val="008C2D7E"/>
    <w:rsid w:val="008C351C"/>
    <w:rsid w:val="008C3E79"/>
    <w:rsid w:val="008C3F04"/>
    <w:rsid w:val="008C4D8B"/>
    <w:rsid w:val="008C51FC"/>
    <w:rsid w:val="008C59CA"/>
    <w:rsid w:val="008C5E92"/>
    <w:rsid w:val="008C5F67"/>
    <w:rsid w:val="008C620D"/>
    <w:rsid w:val="008C656A"/>
    <w:rsid w:val="008C7413"/>
    <w:rsid w:val="008D01AC"/>
    <w:rsid w:val="008D0311"/>
    <w:rsid w:val="008D03CD"/>
    <w:rsid w:val="008D0BCA"/>
    <w:rsid w:val="008D169E"/>
    <w:rsid w:val="008D1968"/>
    <w:rsid w:val="008D1A1F"/>
    <w:rsid w:val="008D280E"/>
    <w:rsid w:val="008D4BDF"/>
    <w:rsid w:val="008D4E59"/>
    <w:rsid w:val="008D4F9F"/>
    <w:rsid w:val="008D54EB"/>
    <w:rsid w:val="008D5704"/>
    <w:rsid w:val="008D5D7C"/>
    <w:rsid w:val="008D5FDF"/>
    <w:rsid w:val="008D635D"/>
    <w:rsid w:val="008D6520"/>
    <w:rsid w:val="008D6FD3"/>
    <w:rsid w:val="008D7AA6"/>
    <w:rsid w:val="008D7DB4"/>
    <w:rsid w:val="008D7E7D"/>
    <w:rsid w:val="008D7EF3"/>
    <w:rsid w:val="008E13D7"/>
    <w:rsid w:val="008E17A2"/>
    <w:rsid w:val="008E1878"/>
    <w:rsid w:val="008E1A08"/>
    <w:rsid w:val="008E1B94"/>
    <w:rsid w:val="008E20F3"/>
    <w:rsid w:val="008E2924"/>
    <w:rsid w:val="008E2B60"/>
    <w:rsid w:val="008E35C5"/>
    <w:rsid w:val="008E45BE"/>
    <w:rsid w:val="008E49CA"/>
    <w:rsid w:val="008E4A2E"/>
    <w:rsid w:val="008E5097"/>
    <w:rsid w:val="008E5996"/>
    <w:rsid w:val="008E5B82"/>
    <w:rsid w:val="008E6087"/>
    <w:rsid w:val="008E6B37"/>
    <w:rsid w:val="008E7C16"/>
    <w:rsid w:val="008E7E2F"/>
    <w:rsid w:val="008F0190"/>
    <w:rsid w:val="008F0848"/>
    <w:rsid w:val="008F09A7"/>
    <w:rsid w:val="008F0C20"/>
    <w:rsid w:val="008F0E7F"/>
    <w:rsid w:val="008F0F14"/>
    <w:rsid w:val="008F10C7"/>
    <w:rsid w:val="008F1807"/>
    <w:rsid w:val="008F1B6B"/>
    <w:rsid w:val="008F2A8D"/>
    <w:rsid w:val="008F2C83"/>
    <w:rsid w:val="008F30A8"/>
    <w:rsid w:val="008F4541"/>
    <w:rsid w:val="008F4629"/>
    <w:rsid w:val="008F4A97"/>
    <w:rsid w:val="008F4B5A"/>
    <w:rsid w:val="008F4BDF"/>
    <w:rsid w:val="008F5123"/>
    <w:rsid w:val="008F5136"/>
    <w:rsid w:val="008F532E"/>
    <w:rsid w:val="008F5BE3"/>
    <w:rsid w:val="008F5D8C"/>
    <w:rsid w:val="008F62DE"/>
    <w:rsid w:val="008F666F"/>
    <w:rsid w:val="008F6878"/>
    <w:rsid w:val="008F6972"/>
    <w:rsid w:val="008F7A5E"/>
    <w:rsid w:val="00900AC2"/>
    <w:rsid w:val="00900D15"/>
    <w:rsid w:val="009012C9"/>
    <w:rsid w:val="009023B0"/>
    <w:rsid w:val="00902D0F"/>
    <w:rsid w:val="00902DAF"/>
    <w:rsid w:val="0090312C"/>
    <w:rsid w:val="009039C0"/>
    <w:rsid w:val="00903C2A"/>
    <w:rsid w:val="00903CBF"/>
    <w:rsid w:val="00903CF2"/>
    <w:rsid w:val="0090467A"/>
    <w:rsid w:val="009046F8"/>
    <w:rsid w:val="00904B7C"/>
    <w:rsid w:val="00905070"/>
    <w:rsid w:val="00905DB5"/>
    <w:rsid w:val="009066C5"/>
    <w:rsid w:val="009068D0"/>
    <w:rsid w:val="00906B5F"/>
    <w:rsid w:val="0090714D"/>
    <w:rsid w:val="0090718A"/>
    <w:rsid w:val="009073D9"/>
    <w:rsid w:val="009074DC"/>
    <w:rsid w:val="009104B2"/>
    <w:rsid w:val="00910AC3"/>
    <w:rsid w:val="00910CF0"/>
    <w:rsid w:val="00910FB0"/>
    <w:rsid w:val="0091192C"/>
    <w:rsid w:val="009122BA"/>
    <w:rsid w:val="00912ABD"/>
    <w:rsid w:val="00912C20"/>
    <w:rsid w:val="00912CEB"/>
    <w:rsid w:val="009132FC"/>
    <w:rsid w:val="00913852"/>
    <w:rsid w:val="00914759"/>
    <w:rsid w:val="00915353"/>
    <w:rsid w:val="00915A05"/>
    <w:rsid w:val="0091675B"/>
    <w:rsid w:val="00916FD9"/>
    <w:rsid w:val="00917163"/>
    <w:rsid w:val="00917279"/>
    <w:rsid w:val="009174B4"/>
    <w:rsid w:val="0091795C"/>
    <w:rsid w:val="00917EDF"/>
    <w:rsid w:val="009200E7"/>
    <w:rsid w:val="009203C2"/>
    <w:rsid w:val="00920740"/>
    <w:rsid w:val="00920D08"/>
    <w:rsid w:val="0092171E"/>
    <w:rsid w:val="0092172C"/>
    <w:rsid w:val="0092203C"/>
    <w:rsid w:val="00922144"/>
    <w:rsid w:val="00922759"/>
    <w:rsid w:val="00922DF1"/>
    <w:rsid w:val="0092307A"/>
    <w:rsid w:val="0092311A"/>
    <w:rsid w:val="00923856"/>
    <w:rsid w:val="00924E94"/>
    <w:rsid w:val="00924ECD"/>
    <w:rsid w:val="0092527C"/>
    <w:rsid w:val="00925ADD"/>
    <w:rsid w:val="00925D5C"/>
    <w:rsid w:val="00925E06"/>
    <w:rsid w:val="0092635B"/>
    <w:rsid w:val="00926EF4"/>
    <w:rsid w:val="0092703C"/>
    <w:rsid w:val="00927503"/>
    <w:rsid w:val="009275BF"/>
    <w:rsid w:val="009278D7"/>
    <w:rsid w:val="00927A76"/>
    <w:rsid w:val="00927EDE"/>
    <w:rsid w:val="009300BE"/>
    <w:rsid w:val="0093029F"/>
    <w:rsid w:val="00930571"/>
    <w:rsid w:val="00930577"/>
    <w:rsid w:val="00930B53"/>
    <w:rsid w:val="00930F3A"/>
    <w:rsid w:val="009313F0"/>
    <w:rsid w:val="009319BC"/>
    <w:rsid w:val="00931DD7"/>
    <w:rsid w:val="0093203A"/>
    <w:rsid w:val="00932383"/>
    <w:rsid w:val="00932E6F"/>
    <w:rsid w:val="0093300F"/>
    <w:rsid w:val="00933BBF"/>
    <w:rsid w:val="0093404F"/>
    <w:rsid w:val="0093412A"/>
    <w:rsid w:val="00935480"/>
    <w:rsid w:val="00935691"/>
    <w:rsid w:val="00935882"/>
    <w:rsid w:val="0093597E"/>
    <w:rsid w:val="00935C25"/>
    <w:rsid w:val="00936316"/>
    <w:rsid w:val="00936375"/>
    <w:rsid w:val="009364E9"/>
    <w:rsid w:val="00936683"/>
    <w:rsid w:val="00936A16"/>
    <w:rsid w:val="0093715A"/>
    <w:rsid w:val="00937BC6"/>
    <w:rsid w:val="00940001"/>
    <w:rsid w:val="00941613"/>
    <w:rsid w:val="009416F6"/>
    <w:rsid w:val="00941C95"/>
    <w:rsid w:val="00941D41"/>
    <w:rsid w:val="009420A9"/>
    <w:rsid w:val="009425DD"/>
    <w:rsid w:val="00942720"/>
    <w:rsid w:val="00942974"/>
    <w:rsid w:val="00942A95"/>
    <w:rsid w:val="00942EFE"/>
    <w:rsid w:val="0094303A"/>
    <w:rsid w:val="009431EB"/>
    <w:rsid w:val="009439CD"/>
    <w:rsid w:val="00943FEC"/>
    <w:rsid w:val="009444F6"/>
    <w:rsid w:val="009447B2"/>
    <w:rsid w:val="00944A40"/>
    <w:rsid w:val="00944A69"/>
    <w:rsid w:val="00944DC8"/>
    <w:rsid w:val="00944E00"/>
    <w:rsid w:val="00944E6B"/>
    <w:rsid w:val="00944EAD"/>
    <w:rsid w:val="00945146"/>
    <w:rsid w:val="009453EC"/>
    <w:rsid w:val="009455EE"/>
    <w:rsid w:val="00945EE2"/>
    <w:rsid w:val="00945FC2"/>
    <w:rsid w:val="00946EF5"/>
    <w:rsid w:val="009471A9"/>
    <w:rsid w:val="00947614"/>
    <w:rsid w:val="00947D85"/>
    <w:rsid w:val="0095005A"/>
    <w:rsid w:val="0095080F"/>
    <w:rsid w:val="00950C92"/>
    <w:rsid w:val="00951140"/>
    <w:rsid w:val="00951F06"/>
    <w:rsid w:val="00952164"/>
    <w:rsid w:val="00952975"/>
    <w:rsid w:val="00952E3D"/>
    <w:rsid w:val="00953142"/>
    <w:rsid w:val="00953A62"/>
    <w:rsid w:val="00953B4B"/>
    <w:rsid w:val="00953D0F"/>
    <w:rsid w:val="0095432E"/>
    <w:rsid w:val="009545E6"/>
    <w:rsid w:val="00954F50"/>
    <w:rsid w:val="0095516F"/>
    <w:rsid w:val="0095599E"/>
    <w:rsid w:val="00955E68"/>
    <w:rsid w:val="00956B58"/>
    <w:rsid w:val="00956D63"/>
    <w:rsid w:val="00957484"/>
    <w:rsid w:val="00957911"/>
    <w:rsid w:val="00957A1F"/>
    <w:rsid w:val="00957DEE"/>
    <w:rsid w:val="00957F15"/>
    <w:rsid w:val="0096022C"/>
    <w:rsid w:val="009602C4"/>
    <w:rsid w:val="00960621"/>
    <w:rsid w:val="00960C35"/>
    <w:rsid w:val="00960CC5"/>
    <w:rsid w:val="009613B3"/>
    <w:rsid w:val="00961943"/>
    <w:rsid w:val="00962103"/>
    <w:rsid w:val="009621AD"/>
    <w:rsid w:val="00962831"/>
    <w:rsid w:val="00962AF3"/>
    <w:rsid w:val="00963533"/>
    <w:rsid w:val="00963B72"/>
    <w:rsid w:val="00963CCE"/>
    <w:rsid w:val="00963F0F"/>
    <w:rsid w:val="00965577"/>
    <w:rsid w:val="00965831"/>
    <w:rsid w:val="0096698E"/>
    <w:rsid w:val="00966FE4"/>
    <w:rsid w:val="009672AE"/>
    <w:rsid w:val="00967351"/>
    <w:rsid w:val="009675BD"/>
    <w:rsid w:val="00967FEC"/>
    <w:rsid w:val="0097050A"/>
    <w:rsid w:val="00970B61"/>
    <w:rsid w:val="009710B1"/>
    <w:rsid w:val="00971368"/>
    <w:rsid w:val="00971432"/>
    <w:rsid w:val="00971793"/>
    <w:rsid w:val="00971B04"/>
    <w:rsid w:val="009723B4"/>
    <w:rsid w:val="009725AC"/>
    <w:rsid w:val="00972679"/>
    <w:rsid w:val="00972B00"/>
    <w:rsid w:val="00973086"/>
    <w:rsid w:val="0097317F"/>
    <w:rsid w:val="00973385"/>
    <w:rsid w:val="00973D4A"/>
    <w:rsid w:val="00973F27"/>
    <w:rsid w:val="009744BD"/>
    <w:rsid w:val="0097451B"/>
    <w:rsid w:val="009745B2"/>
    <w:rsid w:val="0097465E"/>
    <w:rsid w:val="00974877"/>
    <w:rsid w:val="00974DEF"/>
    <w:rsid w:val="009750FF"/>
    <w:rsid w:val="00975646"/>
    <w:rsid w:val="0097602A"/>
    <w:rsid w:val="0097636A"/>
    <w:rsid w:val="009765C7"/>
    <w:rsid w:val="009767F5"/>
    <w:rsid w:val="0097684E"/>
    <w:rsid w:val="00977680"/>
    <w:rsid w:val="00977C9E"/>
    <w:rsid w:val="00980049"/>
    <w:rsid w:val="0098004F"/>
    <w:rsid w:val="009803D3"/>
    <w:rsid w:val="009807DC"/>
    <w:rsid w:val="00980DCE"/>
    <w:rsid w:val="009811FA"/>
    <w:rsid w:val="0098162B"/>
    <w:rsid w:val="0098163B"/>
    <w:rsid w:val="00981E77"/>
    <w:rsid w:val="0098210E"/>
    <w:rsid w:val="0098324E"/>
    <w:rsid w:val="0098331C"/>
    <w:rsid w:val="00983457"/>
    <w:rsid w:val="0098348E"/>
    <w:rsid w:val="00983696"/>
    <w:rsid w:val="00983881"/>
    <w:rsid w:val="00983F60"/>
    <w:rsid w:val="00983FB5"/>
    <w:rsid w:val="0098441D"/>
    <w:rsid w:val="009850BD"/>
    <w:rsid w:val="00985551"/>
    <w:rsid w:val="0098650E"/>
    <w:rsid w:val="00986899"/>
    <w:rsid w:val="00986BFC"/>
    <w:rsid w:val="00986E38"/>
    <w:rsid w:val="00987711"/>
    <w:rsid w:val="00987CFD"/>
    <w:rsid w:val="0099009A"/>
    <w:rsid w:val="0099046A"/>
    <w:rsid w:val="00991171"/>
    <w:rsid w:val="0099117D"/>
    <w:rsid w:val="00991653"/>
    <w:rsid w:val="00991913"/>
    <w:rsid w:val="00991C79"/>
    <w:rsid w:val="0099216A"/>
    <w:rsid w:val="00992633"/>
    <w:rsid w:val="0099350D"/>
    <w:rsid w:val="00993543"/>
    <w:rsid w:val="00993A04"/>
    <w:rsid w:val="00993F2D"/>
    <w:rsid w:val="00993F52"/>
    <w:rsid w:val="00993F74"/>
    <w:rsid w:val="00994376"/>
    <w:rsid w:val="009944D3"/>
    <w:rsid w:val="00994798"/>
    <w:rsid w:val="009954E9"/>
    <w:rsid w:val="009957B1"/>
    <w:rsid w:val="00995961"/>
    <w:rsid w:val="00995DDA"/>
    <w:rsid w:val="009960C4"/>
    <w:rsid w:val="00996172"/>
    <w:rsid w:val="00996849"/>
    <w:rsid w:val="00996ED2"/>
    <w:rsid w:val="0099716C"/>
    <w:rsid w:val="0099765D"/>
    <w:rsid w:val="00997AAB"/>
    <w:rsid w:val="00997BF2"/>
    <w:rsid w:val="009A01E9"/>
    <w:rsid w:val="009A0390"/>
    <w:rsid w:val="009A0C6E"/>
    <w:rsid w:val="009A0C8F"/>
    <w:rsid w:val="009A0FB1"/>
    <w:rsid w:val="009A1E54"/>
    <w:rsid w:val="009A21A2"/>
    <w:rsid w:val="009A3B95"/>
    <w:rsid w:val="009A3CCE"/>
    <w:rsid w:val="009A4421"/>
    <w:rsid w:val="009A4457"/>
    <w:rsid w:val="009A4F06"/>
    <w:rsid w:val="009A594F"/>
    <w:rsid w:val="009A5B42"/>
    <w:rsid w:val="009A647A"/>
    <w:rsid w:val="009A747D"/>
    <w:rsid w:val="009A77DD"/>
    <w:rsid w:val="009A7ABD"/>
    <w:rsid w:val="009B01C6"/>
    <w:rsid w:val="009B0620"/>
    <w:rsid w:val="009B1B51"/>
    <w:rsid w:val="009B1CEF"/>
    <w:rsid w:val="009B2523"/>
    <w:rsid w:val="009B2BE6"/>
    <w:rsid w:val="009B386F"/>
    <w:rsid w:val="009B3C2F"/>
    <w:rsid w:val="009B4111"/>
    <w:rsid w:val="009B4677"/>
    <w:rsid w:val="009B49DB"/>
    <w:rsid w:val="009B4CE5"/>
    <w:rsid w:val="009B4E6A"/>
    <w:rsid w:val="009B511B"/>
    <w:rsid w:val="009B51B2"/>
    <w:rsid w:val="009B56D1"/>
    <w:rsid w:val="009B5FDE"/>
    <w:rsid w:val="009B630B"/>
    <w:rsid w:val="009B6586"/>
    <w:rsid w:val="009B6E36"/>
    <w:rsid w:val="009B77AF"/>
    <w:rsid w:val="009B7DDA"/>
    <w:rsid w:val="009C0200"/>
    <w:rsid w:val="009C07CF"/>
    <w:rsid w:val="009C0ED8"/>
    <w:rsid w:val="009C0ED9"/>
    <w:rsid w:val="009C1D83"/>
    <w:rsid w:val="009C2143"/>
    <w:rsid w:val="009C2EE0"/>
    <w:rsid w:val="009C3BA4"/>
    <w:rsid w:val="009C4602"/>
    <w:rsid w:val="009C46AE"/>
    <w:rsid w:val="009C4726"/>
    <w:rsid w:val="009C4BE3"/>
    <w:rsid w:val="009C505D"/>
    <w:rsid w:val="009C50BB"/>
    <w:rsid w:val="009C5969"/>
    <w:rsid w:val="009C5B62"/>
    <w:rsid w:val="009C61A1"/>
    <w:rsid w:val="009C61B6"/>
    <w:rsid w:val="009C672B"/>
    <w:rsid w:val="009C6B7D"/>
    <w:rsid w:val="009C798D"/>
    <w:rsid w:val="009C7BBE"/>
    <w:rsid w:val="009C7F78"/>
    <w:rsid w:val="009D026B"/>
    <w:rsid w:val="009D0EA6"/>
    <w:rsid w:val="009D1AAC"/>
    <w:rsid w:val="009D1B9C"/>
    <w:rsid w:val="009D1C2D"/>
    <w:rsid w:val="009D2562"/>
    <w:rsid w:val="009D26A6"/>
    <w:rsid w:val="009D26AA"/>
    <w:rsid w:val="009D2DB6"/>
    <w:rsid w:val="009D30BC"/>
    <w:rsid w:val="009D3CFB"/>
    <w:rsid w:val="009D5929"/>
    <w:rsid w:val="009D5F72"/>
    <w:rsid w:val="009D6175"/>
    <w:rsid w:val="009D6F06"/>
    <w:rsid w:val="009D719B"/>
    <w:rsid w:val="009D74BB"/>
    <w:rsid w:val="009D7DCC"/>
    <w:rsid w:val="009E069A"/>
    <w:rsid w:val="009E0BC9"/>
    <w:rsid w:val="009E0FA5"/>
    <w:rsid w:val="009E15DC"/>
    <w:rsid w:val="009E15FD"/>
    <w:rsid w:val="009E1AA2"/>
    <w:rsid w:val="009E1D67"/>
    <w:rsid w:val="009E22F9"/>
    <w:rsid w:val="009E2375"/>
    <w:rsid w:val="009E2A7B"/>
    <w:rsid w:val="009E2C4B"/>
    <w:rsid w:val="009E2D04"/>
    <w:rsid w:val="009E2E96"/>
    <w:rsid w:val="009E3233"/>
    <w:rsid w:val="009E3933"/>
    <w:rsid w:val="009E3A3F"/>
    <w:rsid w:val="009E4053"/>
    <w:rsid w:val="009E4811"/>
    <w:rsid w:val="009E4C25"/>
    <w:rsid w:val="009E501A"/>
    <w:rsid w:val="009E5436"/>
    <w:rsid w:val="009E5B67"/>
    <w:rsid w:val="009E6F98"/>
    <w:rsid w:val="009E6FBF"/>
    <w:rsid w:val="009E7901"/>
    <w:rsid w:val="009E7BE3"/>
    <w:rsid w:val="009F013B"/>
    <w:rsid w:val="009F04E6"/>
    <w:rsid w:val="009F0579"/>
    <w:rsid w:val="009F0699"/>
    <w:rsid w:val="009F0851"/>
    <w:rsid w:val="009F0D70"/>
    <w:rsid w:val="009F15C9"/>
    <w:rsid w:val="009F1684"/>
    <w:rsid w:val="009F17B7"/>
    <w:rsid w:val="009F1BD9"/>
    <w:rsid w:val="009F2AFB"/>
    <w:rsid w:val="009F2BEA"/>
    <w:rsid w:val="009F2CE0"/>
    <w:rsid w:val="009F31AC"/>
    <w:rsid w:val="009F3612"/>
    <w:rsid w:val="009F377C"/>
    <w:rsid w:val="009F3BC5"/>
    <w:rsid w:val="009F3C04"/>
    <w:rsid w:val="009F3C56"/>
    <w:rsid w:val="009F40A9"/>
    <w:rsid w:val="009F4305"/>
    <w:rsid w:val="009F4358"/>
    <w:rsid w:val="009F436C"/>
    <w:rsid w:val="009F4F93"/>
    <w:rsid w:val="009F55F3"/>
    <w:rsid w:val="009F5D8E"/>
    <w:rsid w:val="009F6653"/>
    <w:rsid w:val="009F679E"/>
    <w:rsid w:val="009F703E"/>
    <w:rsid w:val="009F7322"/>
    <w:rsid w:val="009F73BC"/>
    <w:rsid w:val="009F78C5"/>
    <w:rsid w:val="009F7B1F"/>
    <w:rsid w:val="00A003F5"/>
    <w:rsid w:val="00A009ED"/>
    <w:rsid w:val="00A00FAE"/>
    <w:rsid w:val="00A01106"/>
    <w:rsid w:val="00A016AD"/>
    <w:rsid w:val="00A02B4E"/>
    <w:rsid w:val="00A02EDF"/>
    <w:rsid w:val="00A030FB"/>
    <w:rsid w:val="00A0334A"/>
    <w:rsid w:val="00A0337B"/>
    <w:rsid w:val="00A03816"/>
    <w:rsid w:val="00A03AF7"/>
    <w:rsid w:val="00A03DC1"/>
    <w:rsid w:val="00A0418A"/>
    <w:rsid w:val="00A044BD"/>
    <w:rsid w:val="00A051B9"/>
    <w:rsid w:val="00A05C5F"/>
    <w:rsid w:val="00A05DAB"/>
    <w:rsid w:val="00A06202"/>
    <w:rsid w:val="00A06B6C"/>
    <w:rsid w:val="00A06D8B"/>
    <w:rsid w:val="00A0779A"/>
    <w:rsid w:val="00A1014F"/>
    <w:rsid w:val="00A10790"/>
    <w:rsid w:val="00A1084F"/>
    <w:rsid w:val="00A10C86"/>
    <w:rsid w:val="00A114E1"/>
    <w:rsid w:val="00A115E2"/>
    <w:rsid w:val="00A1189E"/>
    <w:rsid w:val="00A12093"/>
    <w:rsid w:val="00A12132"/>
    <w:rsid w:val="00A12727"/>
    <w:rsid w:val="00A12E38"/>
    <w:rsid w:val="00A130EE"/>
    <w:rsid w:val="00A13987"/>
    <w:rsid w:val="00A143BA"/>
    <w:rsid w:val="00A1489F"/>
    <w:rsid w:val="00A14C05"/>
    <w:rsid w:val="00A14E2A"/>
    <w:rsid w:val="00A151CA"/>
    <w:rsid w:val="00A15886"/>
    <w:rsid w:val="00A15970"/>
    <w:rsid w:val="00A160D7"/>
    <w:rsid w:val="00A1633C"/>
    <w:rsid w:val="00A1663B"/>
    <w:rsid w:val="00A1683B"/>
    <w:rsid w:val="00A16BF7"/>
    <w:rsid w:val="00A16EFB"/>
    <w:rsid w:val="00A16F70"/>
    <w:rsid w:val="00A16FC5"/>
    <w:rsid w:val="00A170D5"/>
    <w:rsid w:val="00A17105"/>
    <w:rsid w:val="00A17240"/>
    <w:rsid w:val="00A173BB"/>
    <w:rsid w:val="00A17622"/>
    <w:rsid w:val="00A17764"/>
    <w:rsid w:val="00A179FD"/>
    <w:rsid w:val="00A202D6"/>
    <w:rsid w:val="00A204CD"/>
    <w:rsid w:val="00A20939"/>
    <w:rsid w:val="00A20CD1"/>
    <w:rsid w:val="00A21927"/>
    <w:rsid w:val="00A21B1D"/>
    <w:rsid w:val="00A21BFC"/>
    <w:rsid w:val="00A2240A"/>
    <w:rsid w:val="00A2282F"/>
    <w:rsid w:val="00A22AB1"/>
    <w:rsid w:val="00A22FEC"/>
    <w:rsid w:val="00A23173"/>
    <w:rsid w:val="00A23752"/>
    <w:rsid w:val="00A2394E"/>
    <w:rsid w:val="00A23D12"/>
    <w:rsid w:val="00A23DD0"/>
    <w:rsid w:val="00A23FAF"/>
    <w:rsid w:val="00A23FF2"/>
    <w:rsid w:val="00A2432A"/>
    <w:rsid w:val="00A24706"/>
    <w:rsid w:val="00A249B6"/>
    <w:rsid w:val="00A24F99"/>
    <w:rsid w:val="00A254AE"/>
    <w:rsid w:val="00A255A2"/>
    <w:rsid w:val="00A25E23"/>
    <w:rsid w:val="00A26B7E"/>
    <w:rsid w:val="00A26CB4"/>
    <w:rsid w:val="00A26CB7"/>
    <w:rsid w:val="00A26DF1"/>
    <w:rsid w:val="00A26FB6"/>
    <w:rsid w:val="00A2703F"/>
    <w:rsid w:val="00A278D5"/>
    <w:rsid w:val="00A27A2F"/>
    <w:rsid w:val="00A30B5B"/>
    <w:rsid w:val="00A30CEC"/>
    <w:rsid w:val="00A31378"/>
    <w:rsid w:val="00A31CA5"/>
    <w:rsid w:val="00A322FD"/>
    <w:rsid w:val="00A32481"/>
    <w:rsid w:val="00A32EEC"/>
    <w:rsid w:val="00A33097"/>
    <w:rsid w:val="00A33D6F"/>
    <w:rsid w:val="00A33F94"/>
    <w:rsid w:val="00A34310"/>
    <w:rsid w:val="00A3464C"/>
    <w:rsid w:val="00A34CFD"/>
    <w:rsid w:val="00A34FA6"/>
    <w:rsid w:val="00A3534A"/>
    <w:rsid w:val="00A35965"/>
    <w:rsid w:val="00A35C06"/>
    <w:rsid w:val="00A36162"/>
    <w:rsid w:val="00A3696F"/>
    <w:rsid w:val="00A36983"/>
    <w:rsid w:val="00A36BDB"/>
    <w:rsid w:val="00A373AA"/>
    <w:rsid w:val="00A37533"/>
    <w:rsid w:val="00A379FE"/>
    <w:rsid w:val="00A37E1D"/>
    <w:rsid w:val="00A40902"/>
    <w:rsid w:val="00A40BA5"/>
    <w:rsid w:val="00A40DFA"/>
    <w:rsid w:val="00A411A4"/>
    <w:rsid w:val="00A41350"/>
    <w:rsid w:val="00A4225C"/>
    <w:rsid w:val="00A431A1"/>
    <w:rsid w:val="00A43E3E"/>
    <w:rsid w:val="00A43EA8"/>
    <w:rsid w:val="00A43EF5"/>
    <w:rsid w:val="00A44138"/>
    <w:rsid w:val="00A441A4"/>
    <w:rsid w:val="00A442DD"/>
    <w:rsid w:val="00A44D2E"/>
    <w:rsid w:val="00A44D55"/>
    <w:rsid w:val="00A44D5A"/>
    <w:rsid w:val="00A4528C"/>
    <w:rsid w:val="00A455A6"/>
    <w:rsid w:val="00A45805"/>
    <w:rsid w:val="00A459C3"/>
    <w:rsid w:val="00A45AAB"/>
    <w:rsid w:val="00A45B34"/>
    <w:rsid w:val="00A460F3"/>
    <w:rsid w:val="00A46182"/>
    <w:rsid w:val="00A4636E"/>
    <w:rsid w:val="00A46A20"/>
    <w:rsid w:val="00A47B98"/>
    <w:rsid w:val="00A5028D"/>
    <w:rsid w:val="00A50B7A"/>
    <w:rsid w:val="00A50D13"/>
    <w:rsid w:val="00A51916"/>
    <w:rsid w:val="00A51DAC"/>
    <w:rsid w:val="00A52D3A"/>
    <w:rsid w:val="00A52E18"/>
    <w:rsid w:val="00A53315"/>
    <w:rsid w:val="00A5366F"/>
    <w:rsid w:val="00A53F62"/>
    <w:rsid w:val="00A5440C"/>
    <w:rsid w:val="00A5445F"/>
    <w:rsid w:val="00A545D9"/>
    <w:rsid w:val="00A546E7"/>
    <w:rsid w:val="00A55677"/>
    <w:rsid w:val="00A55700"/>
    <w:rsid w:val="00A55F05"/>
    <w:rsid w:val="00A56710"/>
    <w:rsid w:val="00A57186"/>
    <w:rsid w:val="00A57952"/>
    <w:rsid w:val="00A57971"/>
    <w:rsid w:val="00A579B9"/>
    <w:rsid w:val="00A57D22"/>
    <w:rsid w:val="00A603C2"/>
    <w:rsid w:val="00A6090F"/>
    <w:rsid w:val="00A60AD2"/>
    <w:rsid w:val="00A6101F"/>
    <w:rsid w:val="00A612F1"/>
    <w:rsid w:val="00A6141F"/>
    <w:rsid w:val="00A628D7"/>
    <w:rsid w:val="00A64080"/>
    <w:rsid w:val="00A641D7"/>
    <w:rsid w:val="00A6482F"/>
    <w:rsid w:val="00A64D00"/>
    <w:rsid w:val="00A64E1D"/>
    <w:rsid w:val="00A65157"/>
    <w:rsid w:val="00A65343"/>
    <w:rsid w:val="00A65529"/>
    <w:rsid w:val="00A65894"/>
    <w:rsid w:val="00A665F9"/>
    <w:rsid w:val="00A66665"/>
    <w:rsid w:val="00A667A6"/>
    <w:rsid w:val="00A671E1"/>
    <w:rsid w:val="00A67BCC"/>
    <w:rsid w:val="00A67E6E"/>
    <w:rsid w:val="00A70247"/>
    <w:rsid w:val="00A7051C"/>
    <w:rsid w:val="00A70A52"/>
    <w:rsid w:val="00A70DEA"/>
    <w:rsid w:val="00A70FFA"/>
    <w:rsid w:val="00A71988"/>
    <w:rsid w:val="00A72015"/>
    <w:rsid w:val="00A72549"/>
    <w:rsid w:val="00A74150"/>
    <w:rsid w:val="00A74732"/>
    <w:rsid w:val="00A74D0A"/>
    <w:rsid w:val="00A75225"/>
    <w:rsid w:val="00A75EC6"/>
    <w:rsid w:val="00A765EA"/>
    <w:rsid w:val="00A76649"/>
    <w:rsid w:val="00A76C9A"/>
    <w:rsid w:val="00A77E12"/>
    <w:rsid w:val="00A80162"/>
    <w:rsid w:val="00A80276"/>
    <w:rsid w:val="00A804BD"/>
    <w:rsid w:val="00A80764"/>
    <w:rsid w:val="00A80AC9"/>
    <w:rsid w:val="00A816BE"/>
    <w:rsid w:val="00A8176A"/>
    <w:rsid w:val="00A81C8E"/>
    <w:rsid w:val="00A81FB6"/>
    <w:rsid w:val="00A8276A"/>
    <w:rsid w:val="00A8383F"/>
    <w:rsid w:val="00A838B5"/>
    <w:rsid w:val="00A83AA0"/>
    <w:rsid w:val="00A83B19"/>
    <w:rsid w:val="00A83CA9"/>
    <w:rsid w:val="00A83D8E"/>
    <w:rsid w:val="00A83E40"/>
    <w:rsid w:val="00A84B3D"/>
    <w:rsid w:val="00A85F1F"/>
    <w:rsid w:val="00A86943"/>
    <w:rsid w:val="00A86FCE"/>
    <w:rsid w:val="00A90832"/>
    <w:rsid w:val="00A91536"/>
    <w:rsid w:val="00A9282E"/>
    <w:rsid w:val="00A9286C"/>
    <w:rsid w:val="00A92F2B"/>
    <w:rsid w:val="00A9310F"/>
    <w:rsid w:val="00A934F1"/>
    <w:rsid w:val="00A93E8E"/>
    <w:rsid w:val="00A93ED0"/>
    <w:rsid w:val="00A940A4"/>
    <w:rsid w:val="00A944FF"/>
    <w:rsid w:val="00A94EC7"/>
    <w:rsid w:val="00A953D6"/>
    <w:rsid w:val="00A95B0D"/>
    <w:rsid w:val="00A9675C"/>
    <w:rsid w:val="00A9677F"/>
    <w:rsid w:val="00A96858"/>
    <w:rsid w:val="00A96F5C"/>
    <w:rsid w:val="00A970A4"/>
    <w:rsid w:val="00A97427"/>
    <w:rsid w:val="00AA12FE"/>
    <w:rsid w:val="00AA14AD"/>
    <w:rsid w:val="00AA1C2B"/>
    <w:rsid w:val="00AA1CAB"/>
    <w:rsid w:val="00AA1DA3"/>
    <w:rsid w:val="00AA1E29"/>
    <w:rsid w:val="00AA20F0"/>
    <w:rsid w:val="00AA221B"/>
    <w:rsid w:val="00AA257F"/>
    <w:rsid w:val="00AA262A"/>
    <w:rsid w:val="00AA2AAD"/>
    <w:rsid w:val="00AA33E1"/>
    <w:rsid w:val="00AA3C41"/>
    <w:rsid w:val="00AA3FC9"/>
    <w:rsid w:val="00AA40FF"/>
    <w:rsid w:val="00AA423E"/>
    <w:rsid w:val="00AA5137"/>
    <w:rsid w:val="00AA6291"/>
    <w:rsid w:val="00AA6297"/>
    <w:rsid w:val="00AA6523"/>
    <w:rsid w:val="00AA66EA"/>
    <w:rsid w:val="00AA691D"/>
    <w:rsid w:val="00AA6C4D"/>
    <w:rsid w:val="00AA718F"/>
    <w:rsid w:val="00AA76DF"/>
    <w:rsid w:val="00AA76E5"/>
    <w:rsid w:val="00AA7982"/>
    <w:rsid w:val="00AB02B3"/>
    <w:rsid w:val="00AB0E9A"/>
    <w:rsid w:val="00AB10EB"/>
    <w:rsid w:val="00AB1714"/>
    <w:rsid w:val="00AB191C"/>
    <w:rsid w:val="00AB1D2D"/>
    <w:rsid w:val="00AB2701"/>
    <w:rsid w:val="00AB2C5A"/>
    <w:rsid w:val="00AB37CD"/>
    <w:rsid w:val="00AB3800"/>
    <w:rsid w:val="00AB4A4B"/>
    <w:rsid w:val="00AB5420"/>
    <w:rsid w:val="00AB5F91"/>
    <w:rsid w:val="00AB62BC"/>
    <w:rsid w:val="00AB690D"/>
    <w:rsid w:val="00AB6B6A"/>
    <w:rsid w:val="00AB71DB"/>
    <w:rsid w:val="00AC1601"/>
    <w:rsid w:val="00AC1BDD"/>
    <w:rsid w:val="00AC1C88"/>
    <w:rsid w:val="00AC1D25"/>
    <w:rsid w:val="00AC2081"/>
    <w:rsid w:val="00AC338F"/>
    <w:rsid w:val="00AC33C1"/>
    <w:rsid w:val="00AC3561"/>
    <w:rsid w:val="00AC3EC0"/>
    <w:rsid w:val="00AC439F"/>
    <w:rsid w:val="00AC478B"/>
    <w:rsid w:val="00AC48F2"/>
    <w:rsid w:val="00AC4DD7"/>
    <w:rsid w:val="00AC4E99"/>
    <w:rsid w:val="00AC51AE"/>
    <w:rsid w:val="00AC7794"/>
    <w:rsid w:val="00AC7DD8"/>
    <w:rsid w:val="00AD005B"/>
    <w:rsid w:val="00AD069A"/>
    <w:rsid w:val="00AD0D93"/>
    <w:rsid w:val="00AD1122"/>
    <w:rsid w:val="00AD151F"/>
    <w:rsid w:val="00AD1BA1"/>
    <w:rsid w:val="00AD1E0E"/>
    <w:rsid w:val="00AD27EE"/>
    <w:rsid w:val="00AD339B"/>
    <w:rsid w:val="00AD3C3C"/>
    <w:rsid w:val="00AD3CBF"/>
    <w:rsid w:val="00AD42C1"/>
    <w:rsid w:val="00AD4342"/>
    <w:rsid w:val="00AD4748"/>
    <w:rsid w:val="00AD4843"/>
    <w:rsid w:val="00AD4886"/>
    <w:rsid w:val="00AD4D2C"/>
    <w:rsid w:val="00AD57FB"/>
    <w:rsid w:val="00AD5C6D"/>
    <w:rsid w:val="00AD5E61"/>
    <w:rsid w:val="00AD5F45"/>
    <w:rsid w:val="00AD622D"/>
    <w:rsid w:val="00AD62AE"/>
    <w:rsid w:val="00AD6863"/>
    <w:rsid w:val="00AD6E05"/>
    <w:rsid w:val="00AD7451"/>
    <w:rsid w:val="00AD74F2"/>
    <w:rsid w:val="00AD77FC"/>
    <w:rsid w:val="00AD7D09"/>
    <w:rsid w:val="00AE00D9"/>
    <w:rsid w:val="00AE033C"/>
    <w:rsid w:val="00AE08B5"/>
    <w:rsid w:val="00AE12AA"/>
    <w:rsid w:val="00AE15B4"/>
    <w:rsid w:val="00AE1602"/>
    <w:rsid w:val="00AE17DD"/>
    <w:rsid w:val="00AE2A96"/>
    <w:rsid w:val="00AE356C"/>
    <w:rsid w:val="00AE4833"/>
    <w:rsid w:val="00AE4D01"/>
    <w:rsid w:val="00AE4EC6"/>
    <w:rsid w:val="00AE502B"/>
    <w:rsid w:val="00AE52AF"/>
    <w:rsid w:val="00AE554F"/>
    <w:rsid w:val="00AE55C9"/>
    <w:rsid w:val="00AE6646"/>
    <w:rsid w:val="00AE798B"/>
    <w:rsid w:val="00AF017A"/>
    <w:rsid w:val="00AF01CB"/>
    <w:rsid w:val="00AF1396"/>
    <w:rsid w:val="00AF198C"/>
    <w:rsid w:val="00AF1D4F"/>
    <w:rsid w:val="00AF2D64"/>
    <w:rsid w:val="00AF303C"/>
    <w:rsid w:val="00AF387E"/>
    <w:rsid w:val="00AF3948"/>
    <w:rsid w:val="00AF3DA5"/>
    <w:rsid w:val="00AF47C4"/>
    <w:rsid w:val="00AF4A65"/>
    <w:rsid w:val="00AF4D4C"/>
    <w:rsid w:val="00AF5C3B"/>
    <w:rsid w:val="00AF650E"/>
    <w:rsid w:val="00AF655D"/>
    <w:rsid w:val="00AF698D"/>
    <w:rsid w:val="00AF6C9C"/>
    <w:rsid w:val="00AF72FC"/>
    <w:rsid w:val="00AF7559"/>
    <w:rsid w:val="00AF795A"/>
    <w:rsid w:val="00B00492"/>
    <w:rsid w:val="00B015FF"/>
    <w:rsid w:val="00B01A36"/>
    <w:rsid w:val="00B01BFE"/>
    <w:rsid w:val="00B01FEC"/>
    <w:rsid w:val="00B02076"/>
    <w:rsid w:val="00B02354"/>
    <w:rsid w:val="00B029B6"/>
    <w:rsid w:val="00B03B3E"/>
    <w:rsid w:val="00B04168"/>
    <w:rsid w:val="00B0416F"/>
    <w:rsid w:val="00B04394"/>
    <w:rsid w:val="00B04515"/>
    <w:rsid w:val="00B0454E"/>
    <w:rsid w:val="00B0462C"/>
    <w:rsid w:val="00B0475F"/>
    <w:rsid w:val="00B0478E"/>
    <w:rsid w:val="00B04E3F"/>
    <w:rsid w:val="00B062AE"/>
    <w:rsid w:val="00B06FD3"/>
    <w:rsid w:val="00B070CE"/>
    <w:rsid w:val="00B07B15"/>
    <w:rsid w:val="00B07BCA"/>
    <w:rsid w:val="00B10D49"/>
    <w:rsid w:val="00B110CE"/>
    <w:rsid w:val="00B113AB"/>
    <w:rsid w:val="00B1202E"/>
    <w:rsid w:val="00B12570"/>
    <w:rsid w:val="00B12EA8"/>
    <w:rsid w:val="00B13085"/>
    <w:rsid w:val="00B133CD"/>
    <w:rsid w:val="00B13879"/>
    <w:rsid w:val="00B13995"/>
    <w:rsid w:val="00B13F4B"/>
    <w:rsid w:val="00B14AAE"/>
    <w:rsid w:val="00B151EF"/>
    <w:rsid w:val="00B166DF"/>
    <w:rsid w:val="00B16F5F"/>
    <w:rsid w:val="00B176CC"/>
    <w:rsid w:val="00B17B7F"/>
    <w:rsid w:val="00B17BD4"/>
    <w:rsid w:val="00B17D38"/>
    <w:rsid w:val="00B20518"/>
    <w:rsid w:val="00B20929"/>
    <w:rsid w:val="00B21A00"/>
    <w:rsid w:val="00B21A81"/>
    <w:rsid w:val="00B21FFC"/>
    <w:rsid w:val="00B223CF"/>
    <w:rsid w:val="00B228B3"/>
    <w:rsid w:val="00B22F31"/>
    <w:rsid w:val="00B23AB1"/>
    <w:rsid w:val="00B24043"/>
    <w:rsid w:val="00B24288"/>
    <w:rsid w:val="00B24378"/>
    <w:rsid w:val="00B253BF"/>
    <w:rsid w:val="00B25802"/>
    <w:rsid w:val="00B25F7D"/>
    <w:rsid w:val="00B2645F"/>
    <w:rsid w:val="00B26661"/>
    <w:rsid w:val="00B268BD"/>
    <w:rsid w:val="00B26AF5"/>
    <w:rsid w:val="00B26B42"/>
    <w:rsid w:val="00B2799F"/>
    <w:rsid w:val="00B27A49"/>
    <w:rsid w:val="00B27D01"/>
    <w:rsid w:val="00B27FAC"/>
    <w:rsid w:val="00B3053C"/>
    <w:rsid w:val="00B30545"/>
    <w:rsid w:val="00B3075D"/>
    <w:rsid w:val="00B307F9"/>
    <w:rsid w:val="00B320E4"/>
    <w:rsid w:val="00B3222D"/>
    <w:rsid w:val="00B32640"/>
    <w:rsid w:val="00B32A07"/>
    <w:rsid w:val="00B32FF0"/>
    <w:rsid w:val="00B334B2"/>
    <w:rsid w:val="00B33590"/>
    <w:rsid w:val="00B339D7"/>
    <w:rsid w:val="00B34061"/>
    <w:rsid w:val="00B34B02"/>
    <w:rsid w:val="00B3509D"/>
    <w:rsid w:val="00B3560C"/>
    <w:rsid w:val="00B35F14"/>
    <w:rsid w:val="00B3639A"/>
    <w:rsid w:val="00B36949"/>
    <w:rsid w:val="00B36BE6"/>
    <w:rsid w:val="00B36D09"/>
    <w:rsid w:val="00B3752C"/>
    <w:rsid w:val="00B37941"/>
    <w:rsid w:val="00B37CA4"/>
    <w:rsid w:val="00B404BD"/>
    <w:rsid w:val="00B40683"/>
    <w:rsid w:val="00B406CF"/>
    <w:rsid w:val="00B40723"/>
    <w:rsid w:val="00B40962"/>
    <w:rsid w:val="00B41326"/>
    <w:rsid w:val="00B4196F"/>
    <w:rsid w:val="00B41C25"/>
    <w:rsid w:val="00B42003"/>
    <w:rsid w:val="00B4224A"/>
    <w:rsid w:val="00B425CE"/>
    <w:rsid w:val="00B42C47"/>
    <w:rsid w:val="00B4306C"/>
    <w:rsid w:val="00B43730"/>
    <w:rsid w:val="00B4398F"/>
    <w:rsid w:val="00B43A74"/>
    <w:rsid w:val="00B44001"/>
    <w:rsid w:val="00B4485D"/>
    <w:rsid w:val="00B44A20"/>
    <w:rsid w:val="00B44F43"/>
    <w:rsid w:val="00B457AC"/>
    <w:rsid w:val="00B458CC"/>
    <w:rsid w:val="00B45B8D"/>
    <w:rsid w:val="00B45E1F"/>
    <w:rsid w:val="00B4632F"/>
    <w:rsid w:val="00B463F8"/>
    <w:rsid w:val="00B465CF"/>
    <w:rsid w:val="00B46667"/>
    <w:rsid w:val="00B46CBB"/>
    <w:rsid w:val="00B47263"/>
    <w:rsid w:val="00B473E4"/>
    <w:rsid w:val="00B47C93"/>
    <w:rsid w:val="00B50023"/>
    <w:rsid w:val="00B501D2"/>
    <w:rsid w:val="00B502BA"/>
    <w:rsid w:val="00B50AC6"/>
    <w:rsid w:val="00B50F20"/>
    <w:rsid w:val="00B5135E"/>
    <w:rsid w:val="00B5152E"/>
    <w:rsid w:val="00B51AB2"/>
    <w:rsid w:val="00B52260"/>
    <w:rsid w:val="00B522B1"/>
    <w:rsid w:val="00B52AD0"/>
    <w:rsid w:val="00B52FCD"/>
    <w:rsid w:val="00B530E3"/>
    <w:rsid w:val="00B532D4"/>
    <w:rsid w:val="00B5357C"/>
    <w:rsid w:val="00B540BD"/>
    <w:rsid w:val="00B54502"/>
    <w:rsid w:val="00B545F5"/>
    <w:rsid w:val="00B56330"/>
    <w:rsid w:val="00B56418"/>
    <w:rsid w:val="00B5650B"/>
    <w:rsid w:val="00B57645"/>
    <w:rsid w:val="00B57724"/>
    <w:rsid w:val="00B57A57"/>
    <w:rsid w:val="00B57F94"/>
    <w:rsid w:val="00B57FF5"/>
    <w:rsid w:val="00B60162"/>
    <w:rsid w:val="00B606EB"/>
    <w:rsid w:val="00B613E9"/>
    <w:rsid w:val="00B618B1"/>
    <w:rsid w:val="00B61E53"/>
    <w:rsid w:val="00B62831"/>
    <w:rsid w:val="00B62961"/>
    <w:rsid w:val="00B62ADE"/>
    <w:rsid w:val="00B64665"/>
    <w:rsid w:val="00B6479E"/>
    <w:rsid w:val="00B64907"/>
    <w:rsid w:val="00B64BD9"/>
    <w:rsid w:val="00B64BE9"/>
    <w:rsid w:val="00B65074"/>
    <w:rsid w:val="00B65AB3"/>
    <w:rsid w:val="00B66628"/>
    <w:rsid w:val="00B666D0"/>
    <w:rsid w:val="00B667D3"/>
    <w:rsid w:val="00B66864"/>
    <w:rsid w:val="00B66CF9"/>
    <w:rsid w:val="00B67720"/>
    <w:rsid w:val="00B700FA"/>
    <w:rsid w:val="00B707A5"/>
    <w:rsid w:val="00B708DE"/>
    <w:rsid w:val="00B711FD"/>
    <w:rsid w:val="00B71DC2"/>
    <w:rsid w:val="00B71F25"/>
    <w:rsid w:val="00B72548"/>
    <w:rsid w:val="00B72B72"/>
    <w:rsid w:val="00B730CE"/>
    <w:rsid w:val="00B73422"/>
    <w:rsid w:val="00B739E5"/>
    <w:rsid w:val="00B73A4E"/>
    <w:rsid w:val="00B73CA7"/>
    <w:rsid w:val="00B74536"/>
    <w:rsid w:val="00B74D3A"/>
    <w:rsid w:val="00B74F70"/>
    <w:rsid w:val="00B756BE"/>
    <w:rsid w:val="00B7611C"/>
    <w:rsid w:val="00B76D2F"/>
    <w:rsid w:val="00B76D5F"/>
    <w:rsid w:val="00B76E81"/>
    <w:rsid w:val="00B76FA7"/>
    <w:rsid w:val="00B77182"/>
    <w:rsid w:val="00B77671"/>
    <w:rsid w:val="00B7783E"/>
    <w:rsid w:val="00B77F0C"/>
    <w:rsid w:val="00B806ED"/>
    <w:rsid w:val="00B807E2"/>
    <w:rsid w:val="00B8084C"/>
    <w:rsid w:val="00B809DD"/>
    <w:rsid w:val="00B80A6F"/>
    <w:rsid w:val="00B80EF5"/>
    <w:rsid w:val="00B81C97"/>
    <w:rsid w:val="00B81CAC"/>
    <w:rsid w:val="00B81D40"/>
    <w:rsid w:val="00B81EA1"/>
    <w:rsid w:val="00B822EB"/>
    <w:rsid w:val="00B823CB"/>
    <w:rsid w:val="00B829FC"/>
    <w:rsid w:val="00B829FD"/>
    <w:rsid w:val="00B831AA"/>
    <w:rsid w:val="00B8348B"/>
    <w:rsid w:val="00B84147"/>
    <w:rsid w:val="00B853ED"/>
    <w:rsid w:val="00B85550"/>
    <w:rsid w:val="00B857B7"/>
    <w:rsid w:val="00B85F24"/>
    <w:rsid w:val="00B8602C"/>
    <w:rsid w:val="00B86E21"/>
    <w:rsid w:val="00B873A0"/>
    <w:rsid w:val="00B87CBA"/>
    <w:rsid w:val="00B87F34"/>
    <w:rsid w:val="00B90103"/>
    <w:rsid w:val="00B9051D"/>
    <w:rsid w:val="00B90735"/>
    <w:rsid w:val="00B91C4E"/>
    <w:rsid w:val="00B92700"/>
    <w:rsid w:val="00B9322F"/>
    <w:rsid w:val="00B93636"/>
    <w:rsid w:val="00B94873"/>
    <w:rsid w:val="00B94ADD"/>
    <w:rsid w:val="00B94DE0"/>
    <w:rsid w:val="00B951AA"/>
    <w:rsid w:val="00B953C5"/>
    <w:rsid w:val="00B9555A"/>
    <w:rsid w:val="00B957D6"/>
    <w:rsid w:val="00B95AE9"/>
    <w:rsid w:val="00B95B3B"/>
    <w:rsid w:val="00B9605E"/>
    <w:rsid w:val="00B969AB"/>
    <w:rsid w:val="00B973E2"/>
    <w:rsid w:val="00B9776E"/>
    <w:rsid w:val="00B97BC5"/>
    <w:rsid w:val="00BA0138"/>
    <w:rsid w:val="00BA075A"/>
    <w:rsid w:val="00BA08FE"/>
    <w:rsid w:val="00BA09AD"/>
    <w:rsid w:val="00BA1067"/>
    <w:rsid w:val="00BA1F91"/>
    <w:rsid w:val="00BA2031"/>
    <w:rsid w:val="00BA21AB"/>
    <w:rsid w:val="00BA2840"/>
    <w:rsid w:val="00BA2844"/>
    <w:rsid w:val="00BA2FAE"/>
    <w:rsid w:val="00BA3824"/>
    <w:rsid w:val="00BA389C"/>
    <w:rsid w:val="00BA38E3"/>
    <w:rsid w:val="00BA39F2"/>
    <w:rsid w:val="00BA3A65"/>
    <w:rsid w:val="00BA48BB"/>
    <w:rsid w:val="00BA50AC"/>
    <w:rsid w:val="00BA58C3"/>
    <w:rsid w:val="00BA5AEF"/>
    <w:rsid w:val="00BA5C04"/>
    <w:rsid w:val="00BA5FDD"/>
    <w:rsid w:val="00BA6C5A"/>
    <w:rsid w:val="00BA7BB9"/>
    <w:rsid w:val="00BB062C"/>
    <w:rsid w:val="00BB0659"/>
    <w:rsid w:val="00BB0BA9"/>
    <w:rsid w:val="00BB0F09"/>
    <w:rsid w:val="00BB1137"/>
    <w:rsid w:val="00BB1A07"/>
    <w:rsid w:val="00BB1A18"/>
    <w:rsid w:val="00BB1E4E"/>
    <w:rsid w:val="00BB203C"/>
    <w:rsid w:val="00BB21FA"/>
    <w:rsid w:val="00BB24C2"/>
    <w:rsid w:val="00BB254E"/>
    <w:rsid w:val="00BB263B"/>
    <w:rsid w:val="00BB267E"/>
    <w:rsid w:val="00BB3E39"/>
    <w:rsid w:val="00BB3FFD"/>
    <w:rsid w:val="00BB46CB"/>
    <w:rsid w:val="00BB4BD1"/>
    <w:rsid w:val="00BB632F"/>
    <w:rsid w:val="00BB6AC3"/>
    <w:rsid w:val="00BB6DA2"/>
    <w:rsid w:val="00BB70A5"/>
    <w:rsid w:val="00BB76D4"/>
    <w:rsid w:val="00BB7B87"/>
    <w:rsid w:val="00BB7DEB"/>
    <w:rsid w:val="00BB7FBF"/>
    <w:rsid w:val="00BC0D7A"/>
    <w:rsid w:val="00BC129C"/>
    <w:rsid w:val="00BC1815"/>
    <w:rsid w:val="00BC1A1E"/>
    <w:rsid w:val="00BC1C0A"/>
    <w:rsid w:val="00BC1EA1"/>
    <w:rsid w:val="00BC2244"/>
    <w:rsid w:val="00BC266D"/>
    <w:rsid w:val="00BC27D4"/>
    <w:rsid w:val="00BC32D1"/>
    <w:rsid w:val="00BC39D4"/>
    <w:rsid w:val="00BC3B00"/>
    <w:rsid w:val="00BC3D41"/>
    <w:rsid w:val="00BC4663"/>
    <w:rsid w:val="00BC4928"/>
    <w:rsid w:val="00BC5006"/>
    <w:rsid w:val="00BC5016"/>
    <w:rsid w:val="00BC501F"/>
    <w:rsid w:val="00BC5151"/>
    <w:rsid w:val="00BC5172"/>
    <w:rsid w:val="00BC58F6"/>
    <w:rsid w:val="00BC59E3"/>
    <w:rsid w:val="00BC6082"/>
    <w:rsid w:val="00BC688D"/>
    <w:rsid w:val="00BC6BCF"/>
    <w:rsid w:val="00BC74B5"/>
    <w:rsid w:val="00BC7626"/>
    <w:rsid w:val="00BC7E0F"/>
    <w:rsid w:val="00BD0513"/>
    <w:rsid w:val="00BD07AE"/>
    <w:rsid w:val="00BD0D0E"/>
    <w:rsid w:val="00BD0D84"/>
    <w:rsid w:val="00BD12E2"/>
    <w:rsid w:val="00BD1337"/>
    <w:rsid w:val="00BD151F"/>
    <w:rsid w:val="00BD1AF9"/>
    <w:rsid w:val="00BD20C3"/>
    <w:rsid w:val="00BD3840"/>
    <w:rsid w:val="00BD3D8E"/>
    <w:rsid w:val="00BD4362"/>
    <w:rsid w:val="00BD58B0"/>
    <w:rsid w:val="00BD5A1F"/>
    <w:rsid w:val="00BD5B8E"/>
    <w:rsid w:val="00BD6184"/>
    <w:rsid w:val="00BD63E9"/>
    <w:rsid w:val="00BD6A88"/>
    <w:rsid w:val="00BD7467"/>
    <w:rsid w:val="00BE0883"/>
    <w:rsid w:val="00BE09BB"/>
    <w:rsid w:val="00BE0A23"/>
    <w:rsid w:val="00BE0A96"/>
    <w:rsid w:val="00BE16E1"/>
    <w:rsid w:val="00BE1AC5"/>
    <w:rsid w:val="00BE21AE"/>
    <w:rsid w:val="00BE25B7"/>
    <w:rsid w:val="00BE2A53"/>
    <w:rsid w:val="00BE2F72"/>
    <w:rsid w:val="00BE2F7A"/>
    <w:rsid w:val="00BE3020"/>
    <w:rsid w:val="00BE33CB"/>
    <w:rsid w:val="00BE343B"/>
    <w:rsid w:val="00BE3E13"/>
    <w:rsid w:val="00BE4393"/>
    <w:rsid w:val="00BE4862"/>
    <w:rsid w:val="00BE52B3"/>
    <w:rsid w:val="00BE5313"/>
    <w:rsid w:val="00BE5446"/>
    <w:rsid w:val="00BE55BC"/>
    <w:rsid w:val="00BE5AE9"/>
    <w:rsid w:val="00BE5CD3"/>
    <w:rsid w:val="00BE5EF3"/>
    <w:rsid w:val="00BE6BC8"/>
    <w:rsid w:val="00BE6BE9"/>
    <w:rsid w:val="00BE6D21"/>
    <w:rsid w:val="00BE6EAC"/>
    <w:rsid w:val="00BE7A96"/>
    <w:rsid w:val="00BE7F71"/>
    <w:rsid w:val="00BF00FA"/>
    <w:rsid w:val="00BF01A9"/>
    <w:rsid w:val="00BF0214"/>
    <w:rsid w:val="00BF0FE3"/>
    <w:rsid w:val="00BF1A79"/>
    <w:rsid w:val="00BF23AA"/>
    <w:rsid w:val="00BF25AC"/>
    <w:rsid w:val="00BF2AF6"/>
    <w:rsid w:val="00BF2D73"/>
    <w:rsid w:val="00BF38F0"/>
    <w:rsid w:val="00BF3A89"/>
    <w:rsid w:val="00BF3AC0"/>
    <w:rsid w:val="00BF3DD5"/>
    <w:rsid w:val="00BF48D4"/>
    <w:rsid w:val="00BF4E3A"/>
    <w:rsid w:val="00BF50A2"/>
    <w:rsid w:val="00BF5286"/>
    <w:rsid w:val="00BF5A2B"/>
    <w:rsid w:val="00BF5CE2"/>
    <w:rsid w:val="00BF6120"/>
    <w:rsid w:val="00BF6470"/>
    <w:rsid w:val="00BF64C6"/>
    <w:rsid w:val="00BF67AB"/>
    <w:rsid w:val="00BF7205"/>
    <w:rsid w:val="00BF73D7"/>
    <w:rsid w:val="00BF7A40"/>
    <w:rsid w:val="00BF7C54"/>
    <w:rsid w:val="00C00008"/>
    <w:rsid w:val="00C0009B"/>
    <w:rsid w:val="00C00127"/>
    <w:rsid w:val="00C006C5"/>
    <w:rsid w:val="00C00728"/>
    <w:rsid w:val="00C00B7C"/>
    <w:rsid w:val="00C015D2"/>
    <w:rsid w:val="00C016C2"/>
    <w:rsid w:val="00C02007"/>
    <w:rsid w:val="00C0200F"/>
    <w:rsid w:val="00C02437"/>
    <w:rsid w:val="00C029B1"/>
    <w:rsid w:val="00C02F7D"/>
    <w:rsid w:val="00C0307C"/>
    <w:rsid w:val="00C041CD"/>
    <w:rsid w:val="00C05159"/>
    <w:rsid w:val="00C05985"/>
    <w:rsid w:val="00C05B75"/>
    <w:rsid w:val="00C05D7F"/>
    <w:rsid w:val="00C0629F"/>
    <w:rsid w:val="00C0661F"/>
    <w:rsid w:val="00C06E6E"/>
    <w:rsid w:val="00C074E0"/>
    <w:rsid w:val="00C10883"/>
    <w:rsid w:val="00C10B28"/>
    <w:rsid w:val="00C10C99"/>
    <w:rsid w:val="00C113FA"/>
    <w:rsid w:val="00C114AA"/>
    <w:rsid w:val="00C12F9A"/>
    <w:rsid w:val="00C1357A"/>
    <w:rsid w:val="00C141BB"/>
    <w:rsid w:val="00C143CE"/>
    <w:rsid w:val="00C14642"/>
    <w:rsid w:val="00C14659"/>
    <w:rsid w:val="00C14F24"/>
    <w:rsid w:val="00C155BC"/>
    <w:rsid w:val="00C15602"/>
    <w:rsid w:val="00C15C6A"/>
    <w:rsid w:val="00C1632B"/>
    <w:rsid w:val="00C163EE"/>
    <w:rsid w:val="00C170E4"/>
    <w:rsid w:val="00C170FC"/>
    <w:rsid w:val="00C17B73"/>
    <w:rsid w:val="00C17D39"/>
    <w:rsid w:val="00C17E58"/>
    <w:rsid w:val="00C17F75"/>
    <w:rsid w:val="00C203F8"/>
    <w:rsid w:val="00C205F2"/>
    <w:rsid w:val="00C20655"/>
    <w:rsid w:val="00C209A5"/>
    <w:rsid w:val="00C20AD6"/>
    <w:rsid w:val="00C20C74"/>
    <w:rsid w:val="00C20E55"/>
    <w:rsid w:val="00C20E8F"/>
    <w:rsid w:val="00C20FAF"/>
    <w:rsid w:val="00C2142E"/>
    <w:rsid w:val="00C21763"/>
    <w:rsid w:val="00C21B5F"/>
    <w:rsid w:val="00C221F7"/>
    <w:rsid w:val="00C22580"/>
    <w:rsid w:val="00C2290F"/>
    <w:rsid w:val="00C238C5"/>
    <w:rsid w:val="00C23C1A"/>
    <w:rsid w:val="00C244EC"/>
    <w:rsid w:val="00C24705"/>
    <w:rsid w:val="00C251E2"/>
    <w:rsid w:val="00C2537C"/>
    <w:rsid w:val="00C258E2"/>
    <w:rsid w:val="00C2620B"/>
    <w:rsid w:val="00C26A7C"/>
    <w:rsid w:val="00C26D5E"/>
    <w:rsid w:val="00C26D69"/>
    <w:rsid w:val="00C27063"/>
    <w:rsid w:val="00C276C0"/>
    <w:rsid w:val="00C27B6E"/>
    <w:rsid w:val="00C27D7E"/>
    <w:rsid w:val="00C30004"/>
    <w:rsid w:val="00C30220"/>
    <w:rsid w:val="00C30A7E"/>
    <w:rsid w:val="00C31115"/>
    <w:rsid w:val="00C31281"/>
    <w:rsid w:val="00C31D7E"/>
    <w:rsid w:val="00C31DC4"/>
    <w:rsid w:val="00C33FE8"/>
    <w:rsid w:val="00C347EE"/>
    <w:rsid w:val="00C34D9E"/>
    <w:rsid w:val="00C35013"/>
    <w:rsid w:val="00C355EC"/>
    <w:rsid w:val="00C358DC"/>
    <w:rsid w:val="00C36298"/>
    <w:rsid w:val="00C36D63"/>
    <w:rsid w:val="00C36DC0"/>
    <w:rsid w:val="00C37821"/>
    <w:rsid w:val="00C37E8E"/>
    <w:rsid w:val="00C40120"/>
    <w:rsid w:val="00C4012A"/>
    <w:rsid w:val="00C4087A"/>
    <w:rsid w:val="00C40ADE"/>
    <w:rsid w:val="00C40EC2"/>
    <w:rsid w:val="00C413B6"/>
    <w:rsid w:val="00C42437"/>
    <w:rsid w:val="00C4283F"/>
    <w:rsid w:val="00C42998"/>
    <w:rsid w:val="00C429E2"/>
    <w:rsid w:val="00C431C6"/>
    <w:rsid w:val="00C43210"/>
    <w:rsid w:val="00C438A6"/>
    <w:rsid w:val="00C43AC2"/>
    <w:rsid w:val="00C43D6F"/>
    <w:rsid w:val="00C43EAB"/>
    <w:rsid w:val="00C43F27"/>
    <w:rsid w:val="00C44F1B"/>
    <w:rsid w:val="00C45242"/>
    <w:rsid w:val="00C4538D"/>
    <w:rsid w:val="00C4546B"/>
    <w:rsid w:val="00C455E0"/>
    <w:rsid w:val="00C45C3A"/>
    <w:rsid w:val="00C45E10"/>
    <w:rsid w:val="00C468DF"/>
    <w:rsid w:val="00C46CCE"/>
    <w:rsid w:val="00C46CDA"/>
    <w:rsid w:val="00C471A0"/>
    <w:rsid w:val="00C47353"/>
    <w:rsid w:val="00C47429"/>
    <w:rsid w:val="00C4760A"/>
    <w:rsid w:val="00C47914"/>
    <w:rsid w:val="00C47A16"/>
    <w:rsid w:val="00C47D61"/>
    <w:rsid w:val="00C506F4"/>
    <w:rsid w:val="00C511A9"/>
    <w:rsid w:val="00C515B8"/>
    <w:rsid w:val="00C52643"/>
    <w:rsid w:val="00C52A6C"/>
    <w:rsid w:val="00C52CB4"/>
    <w:rsid w:val="00C53199"/>
    <w:rsid w:val="00C53340"/>
    <w:rsid w:val="00C53520"/>
    <w:rsid w:val="00C536DE"/>
    <w:rsid w:val="00C54225"/>
    <w:rsid w:val="00C54878"/>
    <w:rsid w:val="00C54B6C"/>
    <w:rsid w:val="00C54BEC"/>
    <w:rsid w:val="00C5525E"/>
    <w:rsid w:val="00C5531E"/>
    <w:rsid w:val="00C5546D"/>
    <w:rsid w:val="00C55828"/>
    <w:rsid w:val="00C558AC"/>
    <w:rsid w:val="00C55BFE"/>
    <w:rsid w:val="00C567B5"/>
    <w:rsid w:val="00C56CEB"/>
    <w:rsid w:val="00C57149"/>
    <w:rsid w:val="00C572B4"/>
    <w:rsid w:val="00C57DBF"/>
    <w:rsid w:val="00C60CB0"/>
    <w:rsid w:val="00C61189"/>
    <w:rsid w:val="00C6158B"/>
    <w:rsid w:val="00C61A30"/>
    <w:rsid w:val="00C61D10"/>
    <w:rsid w:val="00C61D45"/>
    <w:rsid w:val="00C61E1E"/>
    <w:rsid w:val="00C61E9B"/>
    <w:rsid w:val="00C62332"/>
    <w:rsid w:val="00C62372"/>
    <w:rsid w:val="00C629BA"/>
    <w:rsid w:val="00C62CDC"/>
    <w:rsid w:val="00C62F54"/>
    <w:rsid w:val="00C63111"/>
    <w:rsid w:val="00C63EFD"/>
    <w:rsid w:val="00C6418D"/>
    <w:rsid w:val="00C64620"/>
    <w:rsid w:val="00C64DD1"/>
    <w:rsid w:val="00C64FA4"/>
    <w:rsid w:val="00C6570A"/>
    <w:rsid w:val="00C665FE"/>
    <w:rsid w:val="00C66B74"/>
    <w:rsid w:val="00C66CFC"/>
    <w:rsid w:val="00C673CE"/>
    <w:rsid w:val="00C67DAC"/>
    <w:rsid w:val="00C67E55"/>
    <w:rsid w:val="00C705E1"/>
    <w:rsid w:val="00C7075C"/>
    <w:rsid w:val="00C70A53"/>
    <w:rsid w:val="00C71895"/>
    <w:rsid w:val="00C719A6"/>
    <w:rsid w:val="00C71B30"/>
    <w:rsid w:val="00C71FB5"/>
    <w:rsid w:val="00C72608"/>
    <w:rsid w:val="00C728CB"/>
    <w:rsid w:val="00C73686"/>
    <w:rsid w:val="00C7499E"/>
    <w:rsid w:val="00C74A3D"/>
    <w:rsid w:val="00C74F67"/>
    <w:rsid w:val="00C75A29"/>
    <w:rsid w:val="00C7665F"/>
    <w:rsid w:val="00C767E8"/>
    <w:rsid w:val="00C76939"/>
    <w:rsid w:val="00C76D16"/>
    <w:rsid w:val="00C76EBF"/>
    <w:rsid w:val="00C77137"/>
    <w:rsid w:val="00C7755D"/>
    <w:rsid w:val="00C77807"/>
    <w:rsid w:val="00C77A6E"/>
    <w:rsid w:val="00C77D3B"/>
    <w:rsid w:val="00C80265"/>
    <w:rsid w:val="00C809D4"/>
    <w:rsid w:val="00C81020"/>
    <w:rsid w:val="00C818C4"/>
    <w:rsid w:val="00C819E9"/>
    <w:rsid w:val="00C8201D"/>
    <w:rsid w:val="00C82124"/>
    <w:rsid w:val="00C83004"/>
    <w:rsid w:val="00C83005"/>
    <w:rsid w:val="00C831A5"/>
    <w:rsid w:val="00C835D7"/>
    <w:rsid w:val="00C83727"/>
    <w:rsid w:val="00C838DA"/>
    <w:rsid w:val="00C83ED6"/>
    <w:rsid w:val="00C83F4C"/>
    <w:rsid w:val="00C847B4"/>
    <w:rsid w:val="00C84CF6"/>
    <w:rsid w:val="00C8516D"/>
    <w:rsid w:val="00C8550A"/>
    <w:rsid w:val="00C8612C"/>
    <w:rsid w:val="00C86987"/>
    <w:rsid w:val="00C872C2"/>
    <w:rsid w:val="00C87542"/>
    <w:rsid w:val="00C876B2"/>
    <w:rsid w:val="00C87880"/>
    <w:rsid w:val="00C90FCB"/>
    <w:rsid w:val="00C91068"/>
    <w:rsid w:val="00C91E6F"/>
    <w:rsid w:val="00C9276B"/>
    <w:rsid w:val="00C928AB"/>
    <w:rsid w:val="00C92E68"/>
    <w:rsid w:val="00C9304B"/>
    <w:rsid w:val="00C930CB"/>
    <w:rsid w:val="00C930F2"/>
    <w:rsid w:val="00C93603"/>
    <w:rsid w:val="00C946F3"/>
    <w:rsid w:val="00C94AF0"/>
    <w:rsid w:val="00C94CB4"/>
    <w:rsid w:val="00C950CA"/>
    <w:rsid w:val="00C95E4E"/>
    <w:rsid w:val="00C96B3F"/>
    <w:rsid w:val="00C97093"/>
    <w:rsid w:val="00CA0192"/>
    <w:rsid w:val="00CA09AD"/>
    <w:rsid w:val="00CA0B51"/>
    <w:rsid w:val="00CA0E0D"/>
    <w:rsid w:val="00CA10CE"/>
    <w:rsid w:val="00CA12A4"/>
    <w:rsid w:val="00CA2CAF"/>
    <w:rsid w:val="00CA2DF7"/>
    <w:rsid w:val="00CA2F59"/>
    <w:rsid w:val="00CA3011"/>
    <w:rsid w:val="00CA3013"/>
    <w:rsid w:val="00CA4714"/>
    <w:rsid w:val="00CA4726"/>
    <w:rsid w:val="00CA4AAC"/>
    <w:rsid w:val="00CA4DDD"/>
    <w:rsid w:val="00CA535E"/>
    <w:rsid w:val="00CA554F"/>
    <w:rsid w:val="00CA5697"/>
    <w:rsid w:val="00CA62FB"/>
    <w:rsid w:val="00CA7C8B"/>
    <w:rsid w:val="00CA7F93"/>
    <w:rsid w:val="00CA7FBA"/>
    <w:rsid w:val="00CB0AC5"/>
    <w:rsid w:val="00CB1992"/>
    <w:rsid w:val="00CB1AAC"/>
    <w:rsid w:val="00CB3387"/>
    <w:rsid w:val="00CB35B8"/>
    <w:rsid w:val="00CB3964"/>
    <w:rsid w:val="00CB3A5B"/>
    <w:rsid w:val="00CB3C89"/>
    <w:rsid w:val="00CB3E63"/>
    <w:rsid w:val="00CB3E9E"/>
    <w:rsid w:val="00CB4138"/>
    <w:rsid w:val="00CB436D"/>
    <w:rsid w:val="00CB5064"/>
    <w:rsid w:val="00CB604B"/>
    <w:rsid w:val="00CB6B31"/>
    <w:rsid w:val="00CB724B"/>
    <w:rsid w:val="00CB729E"/>
    <w:rsid w:val="00CB7904"/>
    <w:rsid w:val="00CB7A7B"/>
    <w:rsid w:val="00CB7CA4"/>
    <w:rsid w:val="00CB7CFD"/>
    <w:rsid w:val="00CC0D59"/>
    <w:rsid w:val="00CC0DDE"/>
    <w:rsid w:val="00CC1203"/>
    <w:rsid w:val="00CC1619"/>
    <w:rsid w:val="00CC2A67"/>
    <w:rsid w:val="00CC2F84"/>
    <w:rsid w:val="00CC3FC0"/>
    <w:rsid w:val="00CC4C4E"/>
    <w:rsid w:val="00CC590E"/>
    <w:rsid w:val="00CC6367"/>
    <w:rsid w:val="00CC6565"/>
    <w:rsid w:val="00CC6ADB"/>
    <w:rsid w:val="00CC7119"/>
    <w:rsid w:val="00CC7909"/>
    <w:rsid w:val="00CC7AEB"/>
    <w:rsid w:val="00CD018E"/>
    <w:rsid w:val="00CD08A8"/>
    <w:rsid w:val="00CD1654"/>
    <w:rsid w:val="00CD16D4"/>
    <w:rsid w:val="00CD1A64"/>
    <w:rsid w:val="00CD1B28"/>
    <w:rsid w:val="00CD21C7"/>
    <w:rsid w:val="00CD27D2"/>
    <w:rsid w:val="00CD2E03"/>
    <w:rsid w:val="00CD31BC"/>
    <w:rsid w:val="00CD361D"/>
    <w:rsid w:val="00CD3A8C"/>
    <w:rsid w:val="00CD4358"/>
    <w:rsid w:val="00CD4AD7"/>
    <w:rsid w:val="00CD4F0F"/>
    <w:rsid w:val="00CD5141"/>
    <w:rsid w:val="00CD51DE"/>
    <w:rsid w:val="00CD5D1F"/>
    <w:rsid w:val="00CD639B"/>
    <w:rsid w:val="00CD70DA"/>
    <w:rsid w:val="00CD73AE"/>
    <w:rsid w:val="00CD755B"/>
    <w:rsid w:val="00CD791C"/>
    <w:rsid w:val="00CD7B33"/>
    <w:rsid w:val="00CE0171"/>
    <w:rsid w:val="00CE0961"/>
    <w:rsid w:val="00CE0B2C"/>
    <w:rsid w:val="00CE0EA3"/>
    <w:rsid w:val="00CE2105"/>
    <w:rsid w:val="00CE230B"/>
    <w:rsid w:val="00CE2BF6"/>
    <w:rsid w:val="00CE30D4"/>
    <w:rsid w:val="00CE31DC"/>
    <w:rsid w:val="00CE3834"/>
    <w:rsid w:val="00CE3A3C"/>
    <w:rsid w:val="00CE3DE6"/>
    <w:rsid w:val="00CE3E82"/>
    <w:rsid w:val="00CE40EA"/>
    <w:rsid w:val="00CE43FE"/>
    <w:rsid w:val="00CE4420"/>
    <w:rsid w:val="00CE4BB7"/>
    <w:rsid w:val="00CE4F7F"/>
    <w:rsid w:val="00CE501C"/>
    <w:rsid w:val="00CE51B6"/>
    <w:rsid w:val="00CE5304"/>
    <w:rsid w:val="00CE5560"/>
    <w:rsid w:val="00CE6321"/>
    <w:rsid w:val="00CE6A2E"/>
    <w:rsid w:val="00CE7559"/>
    <w:rsid w:val="00CE7B4E"/>
    <w:rsid w:val="00CF03AC"/>
    <w:rsid w:val="00CF04D7"/>
    <w:rsid w:val="00CF05CC"/>
    <w:rsid w:val="00CF092C"/>
    <w:rsid w:val="00CF1264"/>
    <w:rsid w:val="00CF12C0"/>
    <w:rsid w:val="00CF152F"/>
    <w:rsid w:val="00CF1711"/>
    <w:rsid w:val="00CF1CE7"/>
    <w:rsid w:val="00CF23DC"/>
    <w:rsid w:val="00CF3738"/>
    <w:rsid w:val="00CF3DA1"/>
    <w:rsid w:val="00CF408C"/>
    <w:rsid w:val="00CF413E"/>
    <w:rsid w:val="00CF57CB"/>
    <w:rsid w:val="00CF59C4"/>
    <w:rsid w:val="00CF5BFA"/>
    <w:rsid w:val="00CF5E8F"/>
    <w:rsid w:val="00CF5F1D"/>
    <w:rsid w:val="00CF63AF"/>
    <w:rsid w:val="00CF75E7"/>
    <w:rsid w:val="00CF76B6"/>
    <w:rsid w:val="00CF76D2"/>
    <w:rsid w:val="00CF7A5B"/>
    <w:rsid w:val="00D00082"/>
    <w:rsid w:val="00D00590"/>
    <w:rsid w:val="00D005D7"/>
    <w:rsid w:val="00D011E9"/>
    <w:rsid w:val="00D0159A"/>
    <w:rsid w:val="00D01B03"/>
    <w:rsid w:val="00D01C52"/>
    <w:rsid w:val="00D01CCA"/>
    <w:rsid w:val="00D01EE4"/>
    <w:rsid w:val="00D02227"/>
    <w:rsid w:val="00D02557"/>
    <w:rsid w:val="00D031A0"/>
    <w:rsid w:val="00D03AC6"/>
    <w:rsid w:val="00D03D65"/>
    <w:rsid w:val="00D04504"/>
    <w:rsid w:val="00D04583"/>
    <w:rsid w:val="00D061A9"/>
    <w:rsid w:val="00D06C63"/>
    <w:rsid w:val="00D07017"/>
    <w:rsid w:val="00D07A4C"/>
    <w:rsid w:val="00D07E36"/>
    <w:rsid w:val="00D100A4"/>
    <w:rsid w:val="00D10253"/>
    <w:rsid w:val="00D102EE"/>
    <w:rsid w:val="00D106A8"/>
    <w:rsid w:val="00D10758"/>
    <w:rsid w:val="00D10B62"/>
    <w:rsid w:val="00D10D2A"/>
    <w:rsid w:val="00D10F69"/>
    <w:rsid w:val="00D1159A"/>
    <w:rsid w:val="00D117C6"/>
    <w:rsid w:val="00D120FA"/>
    <w:rsid w:val="00D121BE"/>
    <w:rsid w:val="00D1287F"/>
    <w:rsid w:val="00D12AA0"/>
    <w:rsid w:val="00D12BF8"/>
    <w:rsid w:val="00D13820"/>
    <w:rsid w:val="00D143C4"/>
    <w:rsid w:val="00D144E9"/>
    <w:rsid w:val="00D14B5A"/>
    <w:rsid w:val="00D14BBE"/>
    <w:rsid w:val="00D15203"/>
    <w:rsid w:val="00D15315"/>
    <w:rsid w:val="00D15D38"/>
    <w:rsid w:val="00D166BC"/>
    <w:rsid w:val="00D166E3"/>
    <w:rsid w:val="00D16925"/>
    <w:rsid w:val="00D171A3"/>
    <w:rsid w:val="00D178BC"/>
    <w:rsid w:val="00D17A56"/>
    <w:rsid w:val="00D17C9F"/>
    <w:rsid w:val="00D17F0B"/>
    <w:rsid w:val="00D20013"/>
    <w:rsid w:val="00D20675"/>
    <w:rsid w:val="00D21308"/>
    <w:rsid w:val="00D21569"/>
    <w:rsid w:val="00D219E8"/>
    <w:rsid w:val="00D21FD1"/>
    <w:rsid w:val="00D22629"/>
    <w:rsid w:val="00D23044"/>
    <w:rsid w:val="00D231AB"/>
    <w:rsid w:val="00D232D4"/>
    <w:rsid w:val="00D232DA"/>
    <w:rsid w:val="00D23441"/>
    <w:rsid w:val="00D23534"/>
    <w:rsid w:val="00D238F2"/>
    <w:rsid w:val="00D23EB3"/>
    <w:rsid w:val="00D24174"/>
    <w:rsid w:val="00D24216"/>
    <w:rsid w:val="00D24487"/>
    <w:rsid w:val="00D24814"/>
    <w:rsid w:val="00D24A84"/>
    <w:rsid w:val="00D24E4A"/>
    <w:rsid w:val="00D25051"/>
    <w:rsid w:val="00D25506"/>
    <w:rsid w:val="00D256F2"/>
    <w:rsid w:val="00D25880"/>
    <w:rsid w:val="00D25D09"/>
    <w:rsid w:val="00D264BE"/>
    <w:rsid w:val="00D26704"/>
    <w:rsid w:val="00D26893"/>
    <w:rsid w:val="00D277CF"/>
    <w:rsid w:val="00D27C84"/>
    <w:rsid w:val="00D30775"/>
    <w:rsid w:val="00D307C8"/>
    <w:rsid w:val="00D315D7"/>
    <w:rsid w:val="00D31FAA"/>
    <w:rsid w:val="00D32196"/>
    <w:rsid w:val="00D32294"/>
    <w:rsid w:val="00D32378"/>
    <w:rsid w:val="00D323D6"/>
    <w:rsid w:val="00D3274A"/>
    <w:rsid w:val="00D32E9D"/>
    <w:rsid w:val="00D336B0"/>
    <w:rsid w:val="00D34083"/>
    <w:rsid w:val="00D34AE6"/>
    <w:rsid w:val="00D34B1B"/>
    <w:rsid w:val="00D35293"/>
    <w:rsid w:val="00D3533C"/>
    <w:rsid w:val="00D35DE7"/>
    <w:rsid w:val="00D361BC"/>
    <w:rsid w:val="00D363EA"/>
    <w:rsid w:val="00D36C7C"/>
    <w:rsid w:val="00D37456"/>
    <w:rsid w:val="00D37587"/>
    <w:rsid w:val="00D4037B"/>
    <w:rsid w:val="00D40775"/>
    <w:rsid w:val="00D40E88"/>
    <w:rsid w:val="00D41689"/>
    <w:rsid w:val="00D41B20"/>
    <w:rsid w:val="00D41C43"/>
    <w:rsid w:val="00D41F2D"/>
    <w:rsid w:val="00D426B9"/>
    <w:rsid w:val="00D428CD"/>
    <w:rsid w:val="00D43445"/>
    <w:rsid w:val="00D438CA"/>
    <w:rsid w:val="00D43A86"/>
    <w:rsid w:val="00D43B0F"/>
    <w:rsid w:val="00D43D4E"/>
    <w:rsid w:val="00D44526"/>
    <w:rsid w:val="00D446AC"/>
    <w:rsid w:val="00D44776"/>
    <w:rsid w:val="00D44F70"/>
    <w:rsid w:val="00D45B5D"/>
    <w:rsid w:val="00D45B8B"/>
    <w:rsid w:val="00D4655A"/>
    <w:rsid w:val="00D466B3"/>
    <w:rsid w:val="00D47C04"/>
    <w:rsid w:val="00D47C6D"/>
    <w:rsid w:val="00D47F62"/>
    <w:rsid w:val="00D50246"/>
    <w:rsid w:val="00D5048A"/>
    <w:rsid w:val="00D517E0"/>
    <w:rsid w:val="00D52029"/>
    <w:rsid w:val="00D52322"/>
    <w:rsid w:val="00D523A2"/>
    <w:rsid w:val="00D52973"/>
    <w:rsid w:val="00D53A9D"/>
    <w:rsid w:val="00D53FCA"/>
    <w:rsid w:val="00D54834"/>
    <w:rsid w:val="00D54A3F"/>
    <w:rsid w:val="00D55A8B"/>
    <w:rsid w:val="00D564EB"/>
    <w:rsid w:val="00D56CD5"/>
    <w:rsid w:val="00D573F8"/>
    <w:rsid w:val="00D5743B"/>
    <w:rsid w:val="00D57AC0"/>
    <w:rsid w:val="00D60260"/>
    <w:rsid w:val="00D607F0"/>
    <w:rsid w:val="00D60890"/>
    <w:rsid w:val="00D609C5"/>
    <w:rsid w:val="00D60DB7"/>
    <w:rsid w:val="00D60E1F"/>
    <w:rsid w:val="00D60ED3"/>
    <w:rsid w:val="00D61217"/>
    <w:rsid w:val="00D61B6A"/>
    <w:rsid w:val="00D621D2"/>
    <w:rsid w:val="00D6267B"/>
    <w:rsid w:val="00D626D7"/>
    <w:rsid w:val="00D6272C"/>
    <w:rsid w:val="00D62E16"/>
    <w:rsid w:val="00D6373B"/>
    <w:rsid w:val="00D63C18"/>
    <w:rsid w:val="00D63DB7"/>
    <w:rsid w:val="00D63E3F"/>
    <w:rsid w:val="00D63E4F"/>
    <w:rsid w:val="00D63E50"/>
    <w:rsid w:val="00D6457C"/>
    <w:rsid w:val="00D64982"/>
    <w:rsid w:val="00D64BB8"/>
    <w:rsid w:val="00D64ED6"/>
    <w:rsid w:val="00D65050"/>
    <w:rsid w:val="00D65212"/>
    <w:rsid w:val="00D65F4E"/>
    <w:rsid w:val="00D66B5C"/>
    <w:rsid w:val="00D66BE6"/>
    <w:rsid w:val="00D67002"/>
    <w:rsid w:val="00D67376"/>
    <w:rsid w:val="00D6770B"/>
    <w:rsid w:val="00D679BC"/>
    <w:rsid w:val="00D67D9C"/>
    <w:rsid w:val="00D7051A"/>
    <w:rsid w:val="00D71336"/>
    <w:rsid w:val="00D71588"/>
    <w:rsid w:val="00D719D1"/>
    <w:rsid w:val="00D723D1"/>
    <w:rsid w:val="00D7253C"/>
    <w:rsid w:val="00D728EE"/>
    <w:rsid w:val="00D72B83"/>
    <w:rsid w:val="00D72CC9"/>
    <w:rsid w:val="00D72EAB"/>
    <w:rsid w:val="00D72FC7"/>
    <w:rsid w:val="00D73490"/>
    <w:rsid w:val="00D738C9"/>
    <w:rsid w:val="00D73CF2"/>
    <w:rsid w:val="00D742DC"/>
    <w:rsid w:val="00D748ED"/>
    <w:rsid w:val="00D753E3"/>
    <w:rsid w:val="00D75EDB"/>
    <w:rsid w:val="00D765D6"/>
    <w:rsid w:val="00D76E14"/>
    <w:rsid w:val="00D77822"/>
    <w:rsid w:val="00D7797C"/>
    <w:rsid w:val="00D8015A"/>
    <w:rsid w:val="00D80439"/>
    <w:rsid w:val="00D80D55"/>
    <w:rsid w:val="00D80EED"/>
    <w:rsid w:val="00D81139"/>
    <w:rsid w:val="00D814B9"/>
    <w:rsid w:val="00D81D15"/>
    <w:rsid w:val="00D81FA3"/>
    <w:rsid w:val="00D82A73"/>
    <w:rsid w:val="00D82EE8"/>
    <w:rsid w:val="00D84926"/>
    <w:rsid w:val="00D84C28"/>
    <w:rsid w:val="00D854D7"/>
    <w:rsid w:val="00D8550A"/>
    <w:rsid w:val="00D85DBC"/>
    <w:rsid w:val="00D85DCA"/>
    <w:rsid w:val="00D86406"/>
    <w:rsid w:val="00D86454"/>
    <w:rsid w:val="00D86C19"/>
    <w:rsid w:val="00D8799A"/>
    <w:rsid w:val="00D87BAC"/>
    <w:rsid w:val="00D87C02"/>
    <w:rsid w:val="00D87CA4"/>
    <w:rsid w:val="00D901C3"/>
    <w:rsid w:val="00D9047F"/>
    <w:rsid w:val="00D907A3"/>
    <w:rsid w:val="00D90E20"/>
    <w:rsid w:val="00D91274"/>
    <w:rsid w:val="00D912BA"/>
    <w:rsid w:val="00D913E9"/>
    <w:rsid w:val="00D91FE5"/>
    <w:rsid w:val="00D92379"/>
    <w:rsid w:val="00D9300C"/>
    <w:rsid w:val="00D93652"/>
    <w:rsid w:val="00D93BE5"/>
    <w:rsid w:val="00D94F2C"/>
    <w:rsid w:val="00D94FD7"/>
    <w:rsid w:val="00D951BE"/>
    <w:rsid w:val="00D95517"/>
    <w:rsid w:val="00D95542"/>
    <w:rsid w:val="00D95BCC"/>
    <w:rsid w:val="00D967B1"/>
    <w:rsid w:val="00D96E72"/>
    <w:rsid w:val="00D96F14"/>
    <w:rsid w:val="00D9700E"/>
    <w:rsid w:val="00D971A8"/>
    <w:rsid w:val="00D97221"/>
    <w:rsid w:val="00D97359"/>
    <w:rsid w:val="00D97363"/>
    <w:rsid w:val="00DA020A"/>
    <w:rsid w:val="00DA03D9"/>
    <w:rsid w:val="00DA0863"/>
    <w:rsid w:val="00DA0AE2"/>
    <w:rsid w:val="00DA0E51"/>
    <w:rsid w:val="00DA1454"/>
    <w:rsid w:val="00DA219B"/>
    <w:rsid w:val="00DA2511"/>
    <w:rsid w:val="00DA2A5C"/>
    <w:rsid w:val="00DA2D42"/>
    <w:rsid w:val="00DA3D0F"/>
    <w:rsid w:val="00DA409A"/>
    <w:rsid w:val="00DA41BA"/>
    <w:rsid w:val="00DA4258"/>
    <w:rsid w:val="00DA4B82"/>
    <w:rsid w:val="00DA5127"/>
    <w:rsid w:val="00DA58E4"/>
    <w:rsid w:val="00DA5C82"/>
    <w:rsid w:val="00DA5F5B"/>
    <w:rsid w:val="00DA614C"/>
    <w:rsid w:val="00DA61F9"/>
    <w:rsid w:val="00DA6312"/>
    <w:rsid w:val="00DA631A"/>
    <w:rsid w:val="00DA7BC0"/>
    <w:rsid w:val="00DA7C69"/>
    <w:rsid w:val="00DA7F7A"/>
    <w:rsid w:val="00DB012F"/>
    <w:rsid w:val="00DB0835"/>
    <w:rsid w:val="00DB092B"/>
    <w:rsid w:val="00DB0B00"/>
    <w:rsid w:val="00DB0E8E"/>
    <w:rsid w:val="00DB13E1"/>
    <w:rsid w:val="00DB1599"/>
    <w:rsid w:val="00DB2AAF"/>
    <w:rsid w:val="00DB2D30"/>
    <w:rsid w:val="00DB2DF5"/>
    <w:rsid w:val="00DB2EE5"/>
    <w:rsid w:val="00DB31CD"/>
    <w:rsid w:val="00DB4318"/>
    <w:rsid w:val="00DB4506"/>
    <w:rsid w:val="00DB4756"/>
    <w:rsid w:val="00DB4ADC"/>
    <w:rsid w:val="00DB4CD1"/>
    <w:rsid w:val="00DB5598"/>
    <w:rsid w:val="00DB5680"/>
    <w:rsid w:val="00DB57B2"/>
    <w:rsid w:val="00DB5E3D"/>
    <w:rsid w:val="00DB6104"/>
    <w:rsid w:val="00DB64C7"/>
    <w:rsid w:val="00DB6F2A"/>
    <w:rsid w:val="00DB7145"/>
    <w:rsid w:val="00DB7352"/>
    <w:rsid w:val="00DC0079"/>
    <w:rsid w:val="00DC0675"/>
    <w:rsid w:val="00DC0BE8"/>
    <w:rsid w:val="00DC1111"/>
    <w:rsid w:val="00DC15DC"/>
    <w:rsid w:val="00DC175C"/>
    <w:rsid w:val="00DC1764"/>
    <w:rsid w:val="00DC1B5A"/>
    <w:rsid w:val="00DC1ED0"/>
    <w:rsid w:val="00DC23E2"/>
    <w:rsid w:val="00DC2447"/>
    <w:rsid w:val="00DC26AD"/>
    <w:rsid w:val="00DC2C83"/>
    <w:rsid w:val="00DC33E6"/>
    <w:rsid w:val="00DC33FB"/>
    <w:rsid w:val="00DC363A"/>
    <w:rsid w:val="00DC3776"/>
    <w:rsid w:val="00DC37EA"/>
    <w:rsid w:val="00DC4F03"/>
    <w:rsid w:val="00DC5968"/>
    <w:rsid w:val="00DC6D8A"/>
    <w:rsid w:val="00DC73F7"/>
    <w:rsid w:val="00DC7DE4"/>
    <w:rsid w:val="00DC7F1A"/>
    <w:rsid w:val="00DD1470"/>
    <w:rsid w:val="00DD1722"/>
    <w:rsid w:val="00DD1CE2"/>
    <w:rsid w:val="00DD1E9B"/>
    <w:rsid w:val="00DD27BF"/>
    <w:rsid w:val="00DD29F9"/>
    <w:rsid w:val="00DD2F35"/>
    <w:rsid w:val="00DD3136"/>
    <w:rsid w:val="00DD313A"/>
    <w:rsid w:val="00DD349B"/>
    <w:rsid w:val="00DD428F"/>
    <w:rsid w:val="00DD48D3"/>
    <w:rsid w:val="00DD5039"/>
    <w:rsid w:val="00DD5EBF"/>
    <w:rsid w:val="00DD6411"/>
    <w:rsid w:val="00DD6840"/>
    <w:rsid w:val="00DE033F"/>
    <w:rsid w:val="00DE05F5"/>
    <w:rsid w:val="00DE066F"/>
    <w:rsid w:val="00DE075C"/>
    <w:rsid w:val="00DE079F"/>
    <w:rsid w:val="00DE08AB"/>
    <w:rsid w:val="00DE090D"/>
    <w:rsid w:val="00DE120A"/>
    <w:rsid w:val="00DE22F7"/>
    <w:rsid w:val="00DE236E"/>
    <w:rsid w:val="00DE30C2"/>
    <w:rsid w:val="00DE364C"/>
    <w:rsid w:val="00DE3BFE"/>
    <w:rsid w:val="00DE47E9"/>
    <w:rsid w:val="00DE5146"/>
    <w:rsid w:val="00DE554F"/>
    <w:rsid w:val="00DE5698"/>
    <w:rsid w:val="00DE5998"/>
    <w:rsid w:val="00DE5D02"/>
    <w:rsid w:val="00DE61D2"/>
    <w:rsid w:val="00DE6588"/>
    <w:rsid w:val="00DE6B3D"/>
    <w:rsid w:val="00DE6CB9"/>
    <w:rsid w:val="00DE7899"/>
    <w:rsid w:val="00DE7AB1"/>
    <w:rsid w:val="00DE7B9F"/>
    <w:rsid w:val="00DE7CCD"/>
    <w:rsid w:val="00DE7EF8"/>
    <w:rsid w:val="00DF08CB"/>
    <w:rsid w:val="00DF0B2A"/>
    <w:rsid w:val="00DF0D7C"/>
    <w:rsid w:val="00DF1167"/>
    <w:rsid w:val="00DF138A"/>
    <w:rsid w:val="00DF1B28"/>
    <w:rsid w:val="00DF257C"/>
    <w:rsid w:val="00DF2634"/>
    <w:rsid w:val="00DF2667"/>
    <w:rsid w:val="00DF32F5"/>
    <w:rsid w:val="00DF3B4C"/>
    <w:rsid w:val="00DF3C1A"/>
    <w:rsid w:val="00DF3F39"/>
    <w:rsid w:val="00DF4496"/>
    <w:rsid w:val="00DF45B0"/>
    <w:rsid w:val="00DF4DB3"/>
    <w:rsid w:val="00DF5942"/>
    <w:rsid w:val="00DF5A27"/>
    <w:rsid w:val="00DF5D15"/>
    <w:rsid w:val="00DF75DF"/>
    <w:rsid w:val="00DF7896"/>
    <w:rsid w:val="00DF7E1E"/>
    <w:rsid w:val="00DF7F7C"/>
    <w:rsid w:val="00E0008E"/>
    <w:rsid w:val="00E003FA"/>
    <w:rsid w:val="00E0045E"/>
    <w:rsid w:val="00E00616"/>
    <w:rsid w:val="00E00A56"/>
    <w:rsid w:val="00E00AB5"/>
    <w:rsid w:val="00E00C5D"/>
    <w:rsid w:val="00E00FE3"/>
    <w:rsid w:val="00E0149E"/>
    <w:rsid w:val="00E01E9F"/>
    <w:rsid w:val="00E02498"/>
    <w:rsid w:val="00E02811"/>
    <w:rsid w:val="00E02DA5"/>
    <w:rsid w:val="00E02E79"/>
    <w:rsid w:val="00E039F0"/>
    <w:rsid w:val="00E03A6B"/>
    <w:rsid w:val="00E03AB4"/>
    <w:rsid w:val="00E03E1B"/>
    <w:rsid w:val="00E03FA8"/>
    <w:rsid w:val="00E04430"/>
    <w:rsid w:val="00E04581"/>
    <w:rsid w:val="00E047AF"/>
    <w:rsid w:val="00E04897"/>
    <w:rsid w:val="00E04D2D"/>
    <w:rsid w:val="00E052DA"/>
    <w:rsid w:val="00E0580B"/>
    <w:rsid w:val="00E05DAE"/>
    <w:rsid w:val="00E05DFD"/>
    <w:rsid w:val="00E0605C"/>
    <w:rsid w:val="00E064F0"/>
    <w:rsid w:val="00E06973"/>
    <w:rsid w:val="00E07671"/>
    <w:rsid w:val="00E07905"/>
    <w:rsid w:val="00E07E4A"/>
    <w:rsid w:val="00E07F63"/>
    <w:rsid w:val="00E104C0"/>
    <w:rsid w:val="00E10BB2"/>
    <w:rsid w:val="00E10DF8"/>
    <w:rsid w:val="00E1120C"/>
    <w:rsid w:val="00E11538"/>
    <w:rsid w:val="00E11615"/>
    <w:rsid w:val="00E1220C"/>
    <w:rsid w:val="00E12532"/>
    <w:rsid w:val="00E1260B"/>
    <w:rsid w:val="00E127B1"/>
    <w:rsid w:val="00E13690"/>
    <w:rsid w:val="00E13B00"/>
    <w:rsid w:val="00E149D5"/>
    <w:rsid w:val="00E14D4F"/>
    <w:rsid w:val="00E1608E"/>
    <w:rsid w:val="00E16B4A"/>
    <w:rsid w:val="00E16B67"/>
    <w:rsid w:val="00E16BCD"/>
    <w:rsid w:val="00E16CE5"/>
    <w:rsid w:val="00E17F3A"/>
    <w:rsid w:val="00E20052"/>
    <w:rsid w:val="00E20EE1"/>
    <w:rsid w:val="00E21031"/>
    <w:rsid w:val="00E21355"/>
    <w:rsid w:val="00E216DA"/>
    <w:rsid w:val="00E2198D"/>
    <w:rsid w:val="00E221E6"/>
    <w:rsid w:val="00E223B7"/>
    <w:rsid w:val="00E226AC"/>
    <w:rsid w:val="00E2284C"/>
    <w:rsid w:val="00E22984"/>
    <w:rsid w:val="00E23AA5"/>
    <w:rsid w:val="00E2408D"/>
    <w:rsid w:val="00E247EC"/>
    <w:rsid w:val="00E24E1E"/>
    <w:rsid w:val="00E24F17"/>
    <w:rsid w:val="00E2508D"/>
    <w:rsid w:val="00E25435"/>
    <w:rsid w:val="00E255F6"/>
    <w:rsid w:val="00E26265"/>
    <w:rsid w:val="00E26859"/>
    <w:rsid w:val="00E273C0"/>
    <w:rsid w:val="00E278BD"/>
    <w:rsid w:val="00E30F19"/>
    <w:rsid w:val="00E310E9"/>
    <w:rsid w:val="00E31541"/>
    <w:rsid w:val="00E317F4"/>
    <w:rsid w:val="00E31C7E"/>
    <w:rsid w:val="00E323F0"/>
    <w:rsid w:val="00E32556"/>
    <w:rsid w:val="00E32AC0"/>
    <w:rsid w:val="00E32D0C"/>
    <w:rsid w:val="00E3325D"/>
    <w:rsid w:val="00E33623"/>
    <w:rsid w:val="00E3392D"/>
    <w:rsid w:val="00E343C3"/>
    <w:rsid w:val="00E3461B"/>
    <w:rsid w:val="00E348B1"/>
    <w:rsid w:val="00E34C8B"/>
    <w:rsid w:val="00E35690"/>
    <w:rsid w:val="00E356A8"/>
    <w:rsid w:val="00E356B3"/>
    <w:rsid w:val="00E358DA"/>
    <w:rsid w:val="00E36750"/>
    <w:rsid w:val="00E36B3D"/>
    <w:rsid w:val="00E36D2D"/>
    <w:rsid w:val="00E36F6E"/>
    <w:rsid w:val="00E370C5"/>
    <w:rsid w:val="00E37651"/>
    <w:rsid w:val="00E378B4"/>
    <w:rsid w:val="00E378DA"/>
    <w:rsid w:val="00E37B0A"/>
    <w:rsid w:val="00E40051"/>
    <w:rsid w:val="00E403DA"/>
    <w:rsid w:val="00E407DB"/>
    <w:rsid w:val="00E40A7F"/>
    <w:rsid w:val="00E40DC0"/>
    <w:rsid w:val="00E4113A"/>
    <w:rsid w:val="00E4115A"/>
    <w:rsid w:val="00E41329"/>
    <w:rsid w:val="00E41F14"/>
    <w:rsid w:val="00E42311"/>
    <w:rsid w:val="00E42491"/>
    <w:rsid w:val="00E42F6C"/>
    <w:rsid w:val="00E4329F"/>
    <w:rsid w:val="00E43653"/>
    <w:rsid w:val="00E4377B"/>
    <w:rsid w:val="00E4378F"/>
    <w:rsid w:val="00E43E25"/>
    <w:rsid w:val="00E4421E"/>
    <w:rsid w:val="00E44293"/>
    <w:rsid w:val="00E443E8"/>
    <w:rsid w:val="00E4466F"/>
    <w:rsid w:val="00E45C14"/>
    <w:rsid w:val="00E45F11"/>
    <w:rsid w:val="00E464E6"/>
    <w:rsid w:val="00E46EA0"/>
    <w:rsid w:val="00E4762D"/>
    <w:rsid w:val="00E505C9"/>
    <w:rsid w:val="00E5093C"/>
    <w:rsid w:val="00E510B1"/>
    <w:rsid w:val="00E512C8"/>
    <w:rsid w:val="00E516C9"/>
    <w:rsid w:val="00E51E13"/>
    <w:rsid w:val="00E51FC3"/>
    <w:rsid w:val="00E52039"/>
    <w:rsid w:val="00E526A7"/>
    <w:rsid w:val="00E527EE"/>
    <w:rsid w:val="00E528DD"/>
    <w:rsid w:val="00E52AAE"/>
    <w:rsid w:val="00E530C4"/>
    <w:rsid w:val="00E5355C"/>
    <w:rsid w:val="00E53F9A"/>
    <w:rsid w:val="00E54526"/>
    <w:rsid w:val="00E55A54"/>
    <w:rsid w:val="00E55C3B"/>
    <w:rsid w:val="00E55EF0"/>
    <w:rsid w:val="00E562E6"/>
    <w:rsid w:val="00E56980"/>
    <w:rsid w:val="00E56EB5"/>
    <w:rsid w:val="00E57838"/>
    <w:rsid w:val="00E57C54"/>
    <w:rsid w:val="00E57CCB"/>
    <w:rsid w:val="00E600E9"/>
    <w:rsid w:val="00E60300"/>
    <w:rsid w:val="00E60375"/>
    <w:rsid w:val="00E606FE"/>
    <w:rsid w:val="00E60C6F"/>
    <w:rsid w:val="00E611CE"/>
    <w:rsid w:val="00E61BCF"/>
    <w:rsid w:val="00E624A9"/>
    <w:rsid w:val="00E636AC"/>
    <w:rsid w:val="00E63B7C"/>
    <w:rsid w:val="00E65768"/>
    <w:rsid w:val="00E65EC4"/>
    <w:rsid w:val="00E66260"/>
    <w:rsid w:val="00E66833"/>
    <w:rsid w:val="00E66AD1"/>
    <w:rsid w:val="00E67278"/>
    <w:rsid w:val="00E676CC"/>
    <w:rsid w:val="00E6779F"/>
    <w:rsid w:val="00E7012A"/>
    <w:rsid w:val="00E70198"/>
    <w:rsid w:val="00E70306"/>
    <w:rsid w:val="00E7069D"/>
    <w:rsid w:val="00E70715"/>
    <w:rsid w:val="00E70AC7"/>
    <w:rsid w:val="00E70D2B"/>
    <w:rsid w:val="00E70D5E"/>
    <w:rsid w:val="00E71205"/>
    <w:rsid w:val="00E7145E"/>
    <w:rsid w:val="00E715F7"/>
    <w:rsid w:val="00E71BF1"/>
    <w:rsid w:val="00E71D85"/>
    <w:rsid w:val="00E72168"/>
    <w:rsid w:val="00E725E0"/>
    <w:rsid w:val="00E72716"/>
    <w:rsid w:val="00E72A19"/>
    <w:rsid w:val="00E73242"/>
    <w:rsid w:val="00E739C2"/>
    <w:rsid w:val="00E73DD0"/>
    <w:rsid w:val="00E73E01"/>
    <w:rsid w:val="00E74118"/>
    <w:rsid w:val="00E74EFC"/>
    <w:rsid w:val="00E7555E"/>
    <w:rsid w:val="00E7594F"/>
    <w:rsid w:val="00E75A6E"/>
    <w:rsid w:val="00E75D1D"/>
    <w:rsid w:val="00E75E8C"/>
    <w:rsid w:val="00E764BE"/>
    <w:rsid w:val="00E767DC"/>
    <w:rsid w:val="00E76CEC"/>
    <w:rsid w:val="00E774BF"/>
    <w:rsid w:val="00E77512"/>
    <w:rsid w:val="00E77875"/>
    <w:rsid w:val="00E77A42"/>
    <w:rsid w:val="00E8024F"/>
    <w:rsid w:val="00E806D0"/>
    <w:rsid w:val="00E809E7"/>
    <w:rsid w:val="00E8100B"/>
    <w:rsid w:val="00E813B0"/>
    <w:rsid w:val="00E813C8"/>
    <w:rsid w:val="00E82034"/>
    <w:rsid w:val="00E82454"/>
    <w:rsid w:val="00E828C9"/>
    <w:rsid w:val="00E82B8C"/>
    <w:rsid w:val="00E82C5C"/>
    <w:rsid w:val="00E83336"/>
    <w:rsid w:val="00E8370B"/>
    <w:rsid w:val="00E84080"/>
    <w:rsid w:val="00E8504F"/>
    <w:rsid w:val="00E853D1"/>
    <w:rsid w:val="00E85BA8"/>
    <w:rsid w:val="00E866CD"/>
    <w:rsid w:val="00E86938"/>
    <w:rsid w:val="00E86DB6"/>
    <w:rsid w:val="00E871B4"/>
    <w:rsid w:val="00E8724A"/>
    <w:rsid w:val="00E87CE2"/>
    <w:rsid w:val="00E87EC5"/>
    <w:rsid w:val="00E87F44"/>
    <w:rsid w:val="00E90D16"/>
    <w:rsid w:val="00E916A8"/>
    <w:rsid w:val="00E920FE"/>
    <w:rsid w:val="00E92312"/>
    <w:rsid w:val="00E923F1"/>
    <w:rsid w:val="00E932DD"/>
    <w:rsid w:val="00E9342F"/>
    <w:rsid w:val="00E935DF"/>
    <w:rsid w:val="00E942FC"/>
    <w:rsid w:val="00E943AA"/>
    <w:rsid w:val="00E943DD"/>
    <w:rsid w:val="00E94524"/>
    <w:rsid w:val="00E94790"/>
    <w:rsid w:val="00E94CEE"/>
    <w:rsid w:val="00E95059"/>
    <w:rsid w:val="00E952F3"/>
    <w:rsid w:val="00E954EF"/>
    <w:rsid w:val="00E95F2D"/>
    <w:rsid w:val="00E963A1"/>
    <w:rsid w:val="00E9699C"/>
    <w:rsid w:val="00E969A8"/>
    <w:rsid w:val="00E96DFB"/>
    <w:rsid w:val="00E971CE"/>
    <w:rsid w:val="00E97C12"/>
    <w:rsid w:val="00EA03AC"/>
    <w:rsid w:val="00EA0779"/>
    <w:rsid w:val="00EA0D09"/>
    <w:rsid w:val="00EA12EA"/>
    <w:rsid w:val="00EA1303"/>
    <w:rsid w:val="00EA190D"/>
    <w:rsid w:val="00EA1EA7"/>
    <w:rsid w:val="00EA254A"/>
    <w:rsid w:val="00EA262E"/>
    <w:rsid w:val="00EA28B6"/>
    <w:rsid w:val="00EA2990"/>
    <w:rsid w:val="00EA2BA2"/>
    <w:rsid w:val="00EA2F91"/>
    <w:rsid w:val="00EA4254"/>
    <w:rsid w:val="00EA4A2C"/>
    <w:rsid w:val="00EA4BBC"/>
    <w:rsid w:val="00EA54CB"/>
    <w:rsid w:val="00EA5BD1"/>
    <w:rsid w:val="00EA5BE7"/>
    <w:rsid w:val="00EA5D76"/>
    <w:rsid w:val="00EA5ED5"/>
    <w:rsid w:val="00EA63F6"/>
    <w:rsid w:val="00EA7341"/>
    <w:rsid w:val="00EA73D9"/>
    <w:rsid w:val="00EA744D"/>
    <w:rsid w:val="00EA74BF"/>
    <w:rsid w:val="00EB07EE"/>
    <w:rsid w:val="00EB084C"/>
    <w:rsid w:val="00EB0E64"/>
    <w:rsid w:val="00EB0F7E"/>
    <w:rsid w:val="00EB10A0"/>
    <w:rsid w:val="00EB119B"/>
    <w:rsid w:val="00EB11A3"/>
    <w:rsid w:val="00EB2A13"/>
    <w:rsid w:val="00EB3029"/>
    <w:rsid w:val="00EB3229"/>
    <w:rsid w:val="00EB3489"/>
    <w:rsid w:val="00EB34D5"/>
    <w:rsid w:val="00EB3943"/>
    <w:rsid w:val="00EB3C83"/>
    <w:rsid w:val="00EB45DE"/>
    <w:rsid w:val="00EB548E"/>
    <w:rsid w:val="00EB5654"/>
    <w:rsid w:val="00EB57BB"/>
    <w:rsid w:val="00EB5812"/>
    <w:rsid w:val="00EB601C"/>
    <w:rsid w:val="00EB60E1"/>
    <w:rsid w:val="00EB6F04"/>
    <w:rsid w:val="00EB7002"/>
    <w:rsid w:val="00EB71D0"/>
    <w:rsid w:val="00EB75FC"/>
    <w:rsid w:val="00EC0342"/>
    <w:rsid w:val="00EC064F"/>
    <w:rsid w:val="00EC0B2B"/>
    <w:rsid w:val="00EC1525"/>
    <w:rsid w:val="00EC1947"/>
    <w:rsid w:val="00EC1C4B"/>
    <w:rsid w:val="00EC2351"/>
    <w:rsid w:val="00EC23F9"/>
    <w:rsid w:val="00EC25C7"/>
    <w:rsid w:val="00EC287C"/>
    <w:rsid w:val="00EC4365"/>
    <w:rsid w:val="00EC481F"/>
    <w:rsid w:val="00EC4C75"/>
    <w:rsid w:val="00EC5878"/>
    <w:rsid w:val="00EC625C"/>
    <w:rsid w:val="00EC6AED"/>
    <w:rsid w:val="00EC6C99"/>
    <w:rsid w:val="00EC6EC9"/>
    <w:rsid w:val="00EC708F"/>
    <w:rsid w:val="00EC7833"/>
    <w:rsid w:val="00EC78F3"/>
    <w:rsid w:val="00EC7B96"/>
    <w:rsid w:val="00ED0886"/>
    <w:rsid w:val="00ED0D9C"/>
    <w:rsid w:val="00ED10A2"/>
    <w:rsid w:val="00ED12DF"/>
    <w:rsid w:val="00ED1485"/>
    <w:rsid w:val="00ED1FC2"/>
    <w:rsid w:val="00ED2309"/>
    <w:rsid w:val="00ED2379"/>
    <w:rsid w:val="00ED23DD"/>
    <w:rsid w:val="00ED25DB"/>
    <w:rsid w:val="00ED27FB"/>
    <w:rsid w:val="00ED2925"/>
    <w:rsid w:val="00ED3152"/>
    <w:rsid w:val="00ED3CDE"/>
    <w:rsid w:val="00ED3EC8"/>
    <w:rsid w:val="00ED4103"/>
    <w:rsid w:val="00ED4173"/>
    <w:rsid w:val="00ED430D"/>
    <w:rsid w:val="00ED4565"/>
    <w:rsid w:val="00ED45D6"/>
    <w:rsid w:val="00ED4F6C"/>
    <w:rsid w:val="00ED51BF"/>
    <w:rsid w:val="00ED5824"/>
    <w:rsid w:val="00ED5BDD"/>
    <w:rsid w:val="00ED5DE9"/>
    <w:rsid w:val="00ED6DD3"/>
    <w:rsid w:val="00ED6F3C"/>
    <w:rsid w:val="00ED78FD"/>
    <w:rsid w:val="00ED7DDB"/>
    <w:rsid w:val="00ED7E00"/>
    <w:rsid w:val="00ED7EBE"/>
    <w:rsid w:val="00EE01E6"/>
    <w:rsid w:val="00EE0394"/>
    <w:rsid w:val="00EE06B9"/>
    <w:rsid w:val="00EE0878"/>
    <w:rsid w:val="00EE0A42"/>
    <w:rsid w:val="00EE0BB4"/>
    <w:rsid w:val="00EE10DA"/>
    <w:rsid w:val="00EE1FF1"/>
    <w:rsid w:val="00EE2C43"/>
    <w:rsid w:val="00EE2D70"/>
    <w:rsid w:val="00EE30F5"/>
    <w:rsid w:val="00EE3181"/>
    <w:rsid w:val="00EE33A9"/>
    <w:rsid w:val="00EE44DB"/>
    <w:rsid w:val="00EE4531"/>
    <w:rsid w:val="00EE46FF"/>
    <w:rsid w:val="00EE480A"/>
    <w:rsid w:val="00EE4DE4"/>
    <w:rsid w:val="00EE58A1"/>
    <w:rsid w:val="00EE59A8"/>
    <w:rsid w:val="00EE5AB9"/>
    <w:rsid w:val="00EE5FA5"/>
    <w:rsid w:val="00EE60B7"/>
    <w:rsid w:val="00EE6441"/>
    <w:rsid w:val="00EE67FB"/>
    <w:rsid w:val="00EE6DAD"/>
    <w:rsid w:val="00EE6FD2"/>
    <w:rsid w:val="00EE773F"/>
    <w:rsid w:val="00EE7852"/>
    <w:rsid w:val="00EE7A32"/>
    <w:rsid w:val="00EF0A00"/>
    <w:rsid w:val="00EF0B81"/>
    <w:rsid w:val="00EF0C7C"/>
    <w:rsid w:val="00EF0E6D"/>
    <w:rsid w:val="00EF0FF4"/>
    <w:rsid w:val="00EF1061"/>
    <w:rsid w:val="00EF1095"/>
    <w:rsid w:val="00EF1098"/>
    <w:rsid w:val="00EF168F"/>
    <w:rsid w:val="00EF17C0"/>
    <w:rsid w:val="00EF1998"/>
    <w:rsid w:val="00EF20B8"/>
    <w:rsid w:val="00EF23A4"/>
    <w:rsid w:val="00EF2674"/>
    <w:rsid w:val="00EF280A"/>
    <w:rsid w:val="00EF3562"/>
    <w:rsid w:val="00EF3A75"/>
    <w:rsid w:val="00EF3C35"/>
    <w:rsid w:val="00EF3CDE"/>
    <w:rsid w:val="00EF4363"/>
    <w:rsid w:val="00EF4605"/>
    <w:rsid w:val="00EF4B54"/>
    <w:rsid w:val="00EF55C5"/>
    <w:rsid w:val="00EF5818"/>
    <w:rsid w:val="00EF5BCD"/>
    <w:rsid w:val="00EF62C9"/>
    <w:rsid w:val="00EF63E7"/>
    <w:rsid w:val="00EF6950"/>
    <w:rsid w:val="00EF6969"/>
    <w:rsid w:val="00EF6A31"/>
    <w:rsid w:val="00EF7818"/>
    <w:rsid w:val="00EF7D01"/>
    <w:rsid w:val="00F00BE7"/>
    <w:rsid w:val="00F00F53"/>
    <w:rsid w:val="00F00F60"/>
    <w:rsid w:val="00F01375"/>
    <w:rsid w:val="00F01424"/>
    <w:rsid w:val="00F01491"/>
    <w:rsid w:val="00F015EE"/>
    <w:rsid w:val="00F01B87"/>
    <w:rsid w:val="00F022F1"/>
    <w:rsid w:val="00F0260D"/>
    <w:rsid w:val="00F02680"/>
    <w:rsid w:val="00F02693"/>
    <w:rsid w:val="00F02CD5"/>
    <w:rsid w:val="00F030A6"/>
    <w:rsid w:val="00F032F1"/>
    <w:rsid w:val="00F037EE"/>
    <w:rsid w:val="00F0392B"/>
    <w:rsid w:val="00F03A0E"/>
    <w:rsid w:val="00F04954"/>
    <w:rsid w:val="00F04A76"/>
    <w:rsid w:val="00F04B02"/>
    <w:rsid w:val="00F051BE"/>
    <w:rsid w:val="00F05B15"/>
    <w:rsid w:val="00F05F35"/>
    <w:rsid w:val="00F05FA9"/>
    <w:rsid w:val="00F06125"/>
    <w:rsid w:val="00F06304"/>
    <w:rsid w:val="00F06B13"/>
    <w:rsid w:val="00F06B8D"/>
    <w:rsid w:val="00F07187"/>
    <w:rsid w:val="00F074EF"/>
    <w:rsid w:val="00F077C6"/>
    <w:rsid w:val="00F07B46"/>
    <w:rsid w:val="00F100EB"/>
    <w:rsid w:val="00F1098D"/>
    <w:rsid w:val="00F10A0F"/>
    <w:rsid w:val="00F10ECA"/>
    <w:rsid w:val="00F1108C"/>
    <w:rsid w:val="00F115F2"/>
    <w:rsid w:val="00F11A0B"/>
    <w:rsid w:val="00F11B8C"/>
    <w:rsid w:val="00F11D78"/>
    <w:rsid w:val="00F12351"/>
    <w:rsid w:val="00F12570"/>
    <w:rsid w:val="00F12673"/>
    <w:rsid w:val="00F13C39"/>
    <w:rsid w:val="00F13C41"/>
    <w:rsid w:val="00F13C98"/>
    <w:rsid w:val="00F13C9C"/>
    <w:rsid w:val="00F144FE"/>
    <w:rsid w:val="00F14620"/>
    <w:rsid w:val="00F14747"/>
    <w:rsid w:val="00F14934"/>
    <w:rsid w:val="00F152F4"/>
    <w:rsid w:val="00F159DA"/>
    <w:rsid w:val="00F15B2F"/>
    <w:rsid w:val="00F15B9E"/>
    <w:rsid w:val="00F165A3"/>
    <w:rsid w:val="00F16A48"/>
    <w:rsid w:val="00F17578"/>
    <w:rsid w:val="00F17D20"/>
    <w:rsid w:val="00F20064"/>
    <w:rsid w:val="00F20268"/>
    <w:rsid w:val="00F20950"/>
    <w:rsid w:val="00F20FF5"/>
    <w:rsid w:val="00F2135A"/>
    <w:rsid w:val="00F218FE"/>
    <w:rsid w:val="00F21BA9"/>
    <w:rsid w:val="00F21E37"/>
    <w:rsid w:val="00F21E62"/>
    <w:rsid w:val="00F232B9"/>
    <w:rsid w:val="00F238E8"/>
    <w:rsid w:val="00F23C5D"/>
    <w:rsid w:val="00F240CF"/>
    <w:rsid w:val="00F241F3"/>
    <w:rsid w:val="00F24A99"/>
    <w:rsid w:val="00F24CA7"/>
    <w:rsid w:val="00F259FC"/>
    <w:rsid w:val="00F25EBA"/>
    <w:rsid w:val="00F26AEE"/>
    <w:rsid w:val="00F26C2C"/>
    <w:rsid w:val="00F270C6"/>
    <w:rsid w:val="00F302A5"/>
    <w:rsid w:val="00F30761"/>
    <w:rsid w:val="00F30A59"/>
    <w:rsid w:val="00F30D0B"/>
    <w:rsid w:val="00F31015"/>
    <w:rsid w:val="00F3110C"/>
    <w:rsid w:val="00F31233"/>
    <w:rsid w:val="00F31D75"/>
    <w:rsid w:val="00F31E30"/>
    <w:rsid w:val="00F31E7E"/>
    <w:rsid w:val="00F321E6"/>
    <w:rsid w:val="00F32810"/>
    <w:rsid w:val="00F32A30"/>
    <w:rsid w:val="00F32C49"/>
    <w:rsid w:val="00F33993"/>
    <w:rsid w:val="00F344C6"/>
    <w:rsid w:val="00F358CE"/>
    <w:rsid w:val="00F362A5"/>
    <w:rsid w:val="00F36665"/>
    <w:rsid w:val="00F36A18"/>
    <w:rsid w:val="00F36C90"/>
    <w:rsid w:val="00F36D0D"/>
    <w:rsid w:val="00F370C5"/>
    <w:rsid w:val="00F3710C"/>
    <w:rsid w:val="00F3783A"/>
    <w:rsid w:val="00F379C2"/>
    <w:rsid w:val="00F379E2"/>
    <w:rsid w:val="00F4063C"/>
    <w:rsid w:val="00F41308"/>
    <w:rsid w:val="00F42409"/>
    <w:rsid w:val="00F42DC6"/>
    <w:rsid w:val="00F43224"/>
    <w:rsid w:val="00F4323D"/>
    <w:rsid w:val="00F4347E"/>
    <w:rsid w:val="00F4354E"/>
    <w:rsid w:val="00F436FD"/>
    <w:rsid w:val="00F44C0D"/>
    <w:rsid w:val="00F44F64"/>
    <w:rsid w:val="00F45AE0"/>
    <w:rsid w:val="00F46216"/>
    <w:rsid w:val="00F46AC1"/>
    <w:rsid w:val="00F47400"/>
    <w:rsid w:val="00F47A07"/>
    <w:rsid w:val="00F47DF7"/>
    <w:rsid w:val="00F47E3B"/>
    <w:rsid w:val="00F47E5E"/>
    <w:rsid w:val="00F50563"/>
    <w:rsid w:val="00F5083F"/>
    <w:rsid w:val="00F50CDC"/>
    <w:rsid w:val="00F50CFD"/>
    <w:rsid w:val="00F50DD4"/>
    <w:rsid w:val="00F50E45"/>
    <w:rsid w:val="00F51C2B"/>
    <w:rsid w:val="00F51C72"/>
    <w:rsid w:val="00F52A87"/>
    <w:rsid w:val="00F53013"/>
    <w:rsid w:val="00F530D2"/>
    <w:rsid w:val="00F53F3A"/>
    <w:rsid w:val="00F53FE2"/>
    <w:rsid w:val="00F5406E"/>
    <w:rsid w:val="00F54351"/>
    <w:rsid w:val="00F549F4"/>
    <w:rsid w:val="00F54B76"/>
    <w:rsid w:val="00F54E93"/>
    <w:rsid w:val="00F55482"/>
    <w:rsid w:val="00F558C5"/>
    <w:rsid w:val="00F56E27"/>
    <w:rsid w:val="00F57070"/>
    <w:rsid w:val="00F57267"/>
    <w:rsid w:val="00F57D3C"/>
    <w:rsid w:val="00F57FDA"/>
    <w:rsid w:val="00F62228"/>
    <w:rsid w:val="00F62B90"/>
    <w:rsid w:val="00F62DEC"/>
    <w:rsid w:val="00F63512"/>
    <w:rsid w:val="00F646B0"/>
    <w:rsid w:val="00F64AB6"/>
    <w:rsid w:val="00F64AE2"/>
    <w:rsid w:val="00F650E8"/>
    <w:rsid w:val="00F656DF"/>
    <w:rsid w:val="00F65CC1"/>
    <w:rsid w:val="00F661C1"/>
    <w:rsid w:val="00F661D5"/>
    <w:rsid w:val="00F668B0"/>
    <w:rsid w:val="00F67BAA"/>
    <w:rsid w:val="00F706A7"/>
    <w:rsid w:val="00F70ECD"/>
    <w:rsid w:val="00F70F6C"/>
    <w:rsid w:val="00F716D7"/>
    <w:rsid w:val="00F71AB8"/>
    <w:rsid w:val="00F71E73"/>
    <w:rsid w:val="00F7220C"/>
    <w:rsid w:val="00F722ED"/>
    <w:rsid w:val="00F723C8"/>
    <w:rsid w:val="00F72BA0"/>
    <w:rsid w:val="00F738EE"/>
    <w:rsid w:val="00F73C1E"/>
    <w:rsid w:val="00F742D1"/>
    <w:rsid w:val="00F74750"/>
    <w:rsid w:val="00F75FC2"/>
    <w:rsid w:val="00F77F2D"/>
    <w:rsid w:val="00F80D6C"/>
    <w:rsid w:val="00F80E7D"/>
    <w:rsid w:val="00F814BD"/>
    <w:rsid w:val="00F81C78"/>
    <w:rsid w:val="00F81F3D"/>
    <w:rsid w:val="00F821C5"/>
    <w:rsid w:val="00F82229"/>
    <w:rsid w:val="00F82600"/>
    <w:rsid w:val="00F828E6"/>
    <w:rsid w:val="00F83101"/>
    <w:rsid w:val="00F8368D"/>
    <w:rsid w:val="00F8413C"/>
    <w:rsid w:val="00F841EA"/>
    <w:rsid w:val="00F84712"/>
    <w:rsid w:val="00F84805"/>
    <w:rsid w:val="00F84DE9"/>
    <w:rsid w:val="00F85647"/>
    <w:rsid w:val="00F85A16"/>
    <w:rsid w:val="00F861EB"/>
    <w:rsid w:val="00F86B8C"/>
    <w:rsid w:val="00F90BC5"/>
    <w:rsid w:val="00F913EF"/>
    <w:rsid w:val="00F91545"/>
    <w:rsid w:val="00F91E6B"/>
    <w:rsid w:val="00F91F93"/>
    <w:rsid w:val="00F91FF5"/>
    <w:rsid w:val="00F92221"/>
    <w:rsid w:val="00F929D2"/>
    <w:rsid w:val="00F92B3D"/>
    <w:rsid w:val="00F92D77"/>
    <w:rsid w:val="00F93948"/>
    <w:rsid w:val="00F93BCB"/>
    <w:rsid w:val="00F93C25"/>
    <w:rsid w:val="00F94706"/>
    <w:rsid w:val="00F94B7B"/>
    <w:rsid w:val="00F94C4B"/>
    <w:rsid w:val="00F94D1E"/>
    <w:rsid w:val="00F95610"/>
    <w:rsid w:val="00F957ED"/>
    <w:rsid w:val="00F95816"/>
    <w:rsid w:val="00F95DA9"/>
    <w:rsid w:val="00F95F98"/>
    <w:rsid w:val="00F9614B"/>
    <w:rsid w:val="00F9638E"/>
    <w:rsid w:val="00F965CF"/>
    <w:rsid w:val="00F9664E"/>
    <w:rsid w:val="00F96769"/>
    <w:rsid w:val="00F97A79"/>
    <w:rsid w:val="00F97DBD"/>
    <w:rsid w:val="00FA04A1"/>
    <w:rsid w:val="00FA0775"/>
    <w:rsid w:val="00FA0856"/>
    <w:rsid w:val="00FA0BE4"/>
    <w:rsid w:val="00FA1710"/>
    <w:rsid w:val="00FA1802"/>
    <w:rsid w:val="00FA183A"/>
    <w:rsid w:val="00FA2399"/>
    <w:rsid w:val="00FA2A93"/>
    <w:rsid w:val="00FA326D"/>
    <w:rsid w:val="00FA3AD2"/>
    <w:rsid w:val="00FA3B96"/>
    <w:rsid w:val="00FA3D36"/>
    <w:rsid w:val="00FA4601"/>
    <w:rsid w:val="00FA48E6"/>
    <w:rsid w:val="00FA5234"/>
    <w:rsid w:val="00FA5256"/>
    <w:rsid w:val="00FA5CB1"/>
    <w:rsid w:val="00FA6E6E"/>
    <w:rsid w:val="00FA723D"/>
    <w:rsid w:val="00FA79FB"/>
    <w:rsid w:val="00FB0964"/>
    <w:rsid w:val="00FB0C63"/>
    <w:rsid w:val="00FB0FCC"/>
    <w:rsid w:val="00FB183B"/>
    <w:rsid w:val="00FB1D8C"/>
    <w:rsid w:val="00FB2094"/>
    <w:rsid w:val="00FB21A9"/>
    <w:rsid w:val="00FB241D"/>
    <w:rsid w:val="00FB2569"/>
    <w:rsid w:val="00FB2957"/>
    <w:rsid w:val="00FB335C"/>
    <w:rsid w:val="00FB3BD1"/>
    <w:rsid w:val="00FB40A1"/>
    <w:rsid w:val="00FB43FE"/>
    <w:rsid w:val="00FB455E"/>
    <w:rsid w:val="00FB4785"/>
    <w:rsid w:val="00FB4967"/>
    <w:rsid w:val="00FB4A04"/>
    <w:rsid w:val="00FB4D98"/>
    <w:rsid w:val="00FB4DE7"/>
    <w:rsid w:val="00FB5BBD"/>
    <w:rsid w:val="00FB5F7A"/>
    <w:rsid w:val="00FB5FFE"/>
    <w:rsid w:val="00FB640A"/>
    <w:rsid w:val="00FB6665"/>
    <w:rsid w:val="00FB69B2"/>
    <w:rsid w:val="00FB6B76"/>
    <w:rsid w:val="00FB6F28"/>
    <w:rsid w:val="00FB76CD"/>
    <w:rsid w:val="00FB77DD"/>
    <w:rsid w:val="00FB7E16"/>
    <w:rsid w:val="00FB7E7F"/>
    <w:rsid w:val="00FC0170"/>
    <w:rsid w:val="00FC01DC"/>
    <w:rsid w:val="00FC0276"/>
    <w:rsid w:val="00FC059F"/>
    <w:rsid w:val="00FC05AE"/>
    <w:rsid w:val="00FC0DB7"/>
    <w:rsid w:val="00FC0EB1"/>
    <w:rsid w:val="00FC104A"/>
    <w:rsid w:val="00FC11C0"/>
    <w:rsid w:val="00FC1C79"/>
    <w:rsid w:val="00FC1D1A"/>
    <w:rsid w:val="00FC2094"/>
    <w:rsid w:val="00FC24F7"/>
    <w:rsid w:val="00FC3DD8"/>
    <w:rsid w:val="00FC451D"/>
    <w:rsid w:val="00FC4635"/>
    <w:rsid w:val="00FC47E9"/>
    <w:rsid w:val="00FC4E4A"/>
    <w:rsid w:val="00FC4F66"/>
    <w:rsid w:val="00FC5144"/>
    <w:rsid w:val="00FC549B"/>
    <w:rsid w:val="00FC5834"/>
    <w:rsid w:val="00FC5C25"/>
    <w:rsid w:val="00FC5C8A"/>
    <w:rsid w:val="00FC5D20"/>
    <w:rsid w:val="00FC6456"/>
    <w:rsid w:val="00FC70A6"/>
    <w:rsid w:val="00FC7268"/>
    <w:rsid w:val="00FC7965"/>
    <w:rsid w:val="00FC7F66"/>
    <w:rsid w:val="00FD0360"/>
    <w:rsid w:val="00FD0522"/>
    <w:rsid w:val="00FD0940"/>
    <w:rsid w:val="00FD09B0"/>
    <w:rsid w:val="00FD0AC0"/>
    <w:rsid w:val="00FD132A"/>
    <w:rsid w:val="00FD149C"/>
    <w:rsid w:val="00FD1661"/>
    <w:rsid w:val="00FD27B3"/>
    <w:rsid w:val="00FD285A"/>
    <w:rsid w:val="00FD2A43"/>
    <w:rsid w:val="00FD2BCA"/>
    <w:rsid w:val="00FD2E04"/>
    <w:rsid w:val="00FD3336"/>
    <w:rsid w:val="00FD3AF3"/>
    <w:rsid w:val="00FD418C"/>
    <w:rsid w:val="00FD4C73"/>
    <w:rsid w:val="00FD4FDC"/>
    <w:rsid w:val="00FD5A13"/>
    <w:rsid w:val="00FD62B5"/>
    <w:rsid w:val="00FD6624"/>
    <w:rsid w:val="00FD7A6C"/>
    <w:rsid w:val="00FE0606"/>
    <w:rsid w:val="00FE06E9"/>
    <w:rsid w:val="00FE0A08"/>
    <w:rsid w:val="00FE0EF0"/>
    <w:rsid w:val="00FE14CC"/>
    <w:rsid w:val="00FE1788"/>
    <w:rsid w:val="00FE244D"/>
    <w:rsid w:val="00FE26F6"/>
    <w:rsid w:val="00FE27F8"/>
    <w:rsid w:val="00FE2B34"/>
    <w:rsid w:val="00FE2EE2"/>
    <w:rsid w:val="00FE35FC"/>
    <w:rsid w:val="00FE4256"/>
    <w:rsid w:val="00FE48A9"/>
    <w:rsid w:val="00FE4A7E"/>
    <w:rsid w:val="00FE4B49"/>
    <w:rsid w:val="00FE5189"/>
    <w:rsid w:val="00FE5629"/>
    <w:rsid w:val="00FE61B6"/>
    <w:rsid w:val="00FE69B5"/>
    <w:rsid w:val="00FF069D"/>
    <w:rsid w:val="00FF073A"/>
    <w:rsid w:val="00FF1628"/>
    <w:rsid w:val="00FF1D30"/>
    <w:rsid w:val="00FF1D51"/>
    <w:rsid w:val="00FF2C8B"/>
    <w:rsid w:val="00FF323F"/>
    <w:rsid w:val="00FF3361"/>
    <w:rsid w:val="00FF35CF"/>
    <w:rsid w:val="00FF3D59"/>
    <w:rsid w:val="00FF41AB"/>
    <w:rsid w:val="00FF4310"/>
    <w:rsid w:val="00FF44B7"/>
    <w:rsid w:val="00FF45E0"/>
    <w:rsid w:val="00FF4C33"/>
    <w:rsid w:val="00FF55A6"/>
    <w:rsid w:val="00FF63A7"/>
    <w:rsid w:val="00FF64EB"/>
    <w:rsid w:val="00FF6A14"/>
    <w:rsid w:val="00FF6EEE"/>
    <w:rsid w:val="00FF7248"/>
    <w:rsid w:val="00FF769D"/>
    <w:rsid w:val="00FF7AEE"/>
    <w:rsid w:val="00FF7AFD"/>
    <w:rsid w:val="00FF7B31"/>
    <w:rsid w:val="00FF7FDC"/>
    <w:rsid w:val="0136A7C4"/>
    <w:rsid w:val="017EDCAF"/>
    <w:rsid w:val="018E3D84"/>
    <w:rsid w:val="01C88A0C"/>
    <w:rsid w:val="02C39070"/>
    <w:rsid w:val="02CA826D"/>
    <w:rsid w:val="03393FE3"/>
    <w:rsid w:val="03632D5C"/>
    <w:rsid w:val="039ABB61"/>
    <w:rsid w:val="0420D3D6"/>
    <w:rsid w:val="04721579"/>
    <w:rsid w:val="04B5B6D1"/>
    <w:rsid w:val="04B7C366"/>
    <w:rsid w:val="04D45DB4"/>
    <w:rsid w:val="04D7594B"/>
    <w:rsid w:val="05A932EB"/>
    <w:rsid w:val="05BC13C1"/>
    <w:rsid w:val="0606CEFA"/>
    <w:rsid w:val="06D0EE6E"/>
    <w:rsid w:val="06D57A9A"/>
    <w:rsid w:val="07146520"/>
    <w:rsid w:val="079D289D"/>
    <w:rsid w:val="07EEC939"/>
    <w:rsid w:val="08250A47"/>
    <w:rsid w:val="087A09C8"/>
    <w:rsid w:val="088BCF5F"/>
    <w:rsid w:val="08F3E62C"/>
    <w:rsid w:val="0AA6E34E"/>
    <w:rsid w:val="0AD2D390"/>
    <w:rsid w:val="0B1ED5A8"/>
    <w:rsid w:val="0B9AEFD4"/>
    <w:rsid w:val="0BA518F5"/>
    <w:rsid w:val="0BBED6DE"/>
    <w:rsid w:val="0C53C89A"/>
    <w:rsid w:val="0DA22573"/>
    <w:rsid w:val="0DD18A02"/>
    <w:rsid w:val="0E4A60D5"/>
    <w:rsid w:val="0E75E9C2"/>
    <w:rsid w:val="0EB8BBD7"/>
    <w:rsid w:val="0F3F7617"/>
    <w:rsid w:val="0FA8A098"/>
    <w:rsid w:val="10831E60"/>
    <w:rsid w:val="108CD7B4"/>
    <w:rsid w:val="1145B295"/>
    <w:rsid w:val="125B607D"/>
    <w:rsid w:val="12E27293"/>
    <w:rsid w:val="1465A29A"/>
    <w:rsid w:val="15B5F91C"/>
    <w:rsid w:val="15F8C450"/>
    <w:rsid w:val="161C1800"/>
    <w:rsid w:val="168D7DC3"/>
    <w:rsid w:val="16AF4BF3"/>
    <w:rsid w:val="16CE7473"/>
    <w:rsid w:val="177C31B0"/>
    <w:rsid w:val="178580D7"/>
    <w:rsid w:val="17DF539B"/>
    <w:rsid w:val="180C9725"/>
    <w:rsid w:val="187F5588"/>
    <w:rsid w:val="18868DA0"/>
    <w:rsid w:val="188B9C64"/>
    <w:rsid w:val="194CF848"/>
    <w:rsid w:val="194EB5B1"/>
    <w:rsid w:val="19926D5C"/>
    <w:rsid w:val="1A6B4F4C"/>
    <w:rsid w:val="1B195335"/>
    <w:rsid w:val="1BEFEE0B"/>
    <w:rsid w:val="1CA2B020"/>
    <w:rsid w:val="1CC7EED2"/>
    <w:rsid w:val="1D016BCE"/>
    <w:rsid w:val="1D25645E"/>
    <w:rsid w:val="1DD075DA"/>
    <w:rsid w:val="1E4E3B61"/>
    <w:rsid w:val="1E6024FC"/>
    <w:rsid w:val="1E79CCDB"/>
    <w:rsid w:val="1E81E65B"/>
    <w:rsid w:val="1F4B3CE7"/>
    <w:rsid w:val="1FCCF20A"/>
    <w:rsid w:val="2073F340"/>
    <w:rsid w:val="20CE631B"/>
    <w:rsid w:val="212E63D2"/>
    <w:rsid w:val="21953589"/>
    <w:rsid w:val="2258BECA"/>
    <w:rsid w:val="228892C6"/>
    <w:rsid w:val="2333F17D"/>
    <w:rsid w:val="23D3781F"/>
    <w:rsid w:val="243CC819"/>
    <w:rsid w:val="247921AA"/>
    <w:rsid w:val="24C77699"/>
    <w:rsid w:val="2535E2A8"/>
    <w:rsid w:val="25667B25"/>
    <w:rsid w:val="256CBCAB"/>
    <w:rsid w:val="259B6CFE"/>
    <w:rsid w:val="25D0512B"/>
    <w:rsid w:val="25E068AE"/>
    <w:rsid w:val="26448A2C"/>
    <w:rsid w:val="2650C849"/>
    <w:rsid w:val="27B3A03C"/>
    <w:rsid w:val="2808633B"/>
    <w:rsid w:val="282F4385"/>
    <w:rsid w:val="28C22A36"/>
    <w:rsid w:val="2A1C13F6"/>
    <w:rsid w:val="2A1F336A"/>
    <w:rsid w:val="2A3B5D2A"/>
    <w:rsid w:val="2A4739A3"/>
    <w:rsid w:val="2AD00FEC"/>
    <w:rsid w:val="2AD0BBEF"/>
    <w:rsid w:val="2AEFA46C"/>
    <w:rsid w:val="2B60A8DC"/>
    <w:rsid w:val="2B7C49DC"/>
    <w:rsid w:val="2BC2D8BF"/>
    <w:rsid w:val="2C267658"/>
    <w:rsid w:val="2C4E27A7"/>
    <w:rsid w:val="2C75911D"/>
    <w:rsid w:val="2C80A22B"/>
    <w:rsid w:val="2CA3D626"/>
    <w:rsid w:val="2CACD6BB"/>
    <w:rsid w:val="2CBDC1FD"/>
    <w:rsid w:val="2D0FE491"/>
    <w:rsid w:val="2D44B465"/>
    <w:rsid w:val="2E46E60A"/>
    <w:rsid w:val="2E69810F"/>
    <w:rsid w:val="2F704A99"/>
    <w:rsid w:val="302CFE7B"/>
    <w:rsid w:val="302F67AC"/>
    <w:rsid w:val="3039BAC2"/>
    <w:rsid w:val="309562D7"/>
    <w:rsid w:val="309F54D5"/>
    <w:rsid w:val="31213842"/>
    <w:rsid w:val="3133AD1C"/>
    <w:rsid w:val="31A86291"/>
    <w:rsid w:val="320E5205"/>
    <w:rsid w:val="325AC799"/>
    <w:rsid w:val="344BC6E8"/>
    <w:rsid w:val="34604D09"/>
    <w:rsid w:val="3465BD53"/>
    <w:rsid w:val="353E7ABD"/>
    <w:rsid w:val="3567293B"/>
    <w:rsid w:val="35F0C442"/>
    <w:rsid w:val="3630B604"/>
    <w:rsid w:val="3636808B"/>
    <w:rsid w:val="3664D7A9"/>
    <w:rsid w:val="36987662"/>
    <w:rsid w:val="36A80A07"/>
    <w:rsid w:val="36EAC1E5"/>
    <w:rsid w:val="3703C3FC"/>
    <w:rsid w:val="371642A7"/>
    <w:rsid w:val="378C6E26"/>
    <w:rsid w:val="37CD8A19"/>
    <w:rsid w:val="3820797B"/>
    <w:rsid w:val="3874ADA0"/>
    <w:rsid w:val="388EB190"/>
    <w:rsid w:val="389CDF92"/>
    <w:rsid w:val="38FD053D"/>
    <w:rsid w:val="395367DB"/>
    <w:rsid w:val="39A7958B"/>
    <w:rsid w:val="39B5E072"/>
    <w:rsid w:val="3ACE9C67"/>
    <w:rsid w:val="3B9DC7E3"/>
    <w:rsid w:val="3D4605DC"/>
    <w:rsid w:val="3DE3B066"/>
    <w:rsid w:val="3E913563"/>
    <w:rsid w:val="3EB4BC4C"/>
    <w:rsid w:val="3FF81F22"/>
    <w:rsid w:val="405193FB"/>
    <w:rsid w:val="409A0107"/>
    <w:rsid w:val="4111ECE2"/>
    <w:rsid w:val="4276CCC9"/>
    <w:rsid w:val="427B4DA5"/>
    <w:rsid w:val="43B4EB66"/>
    <w:rsid w:val="44121971"/>
    <w:rsid w:val="441A2077"/>
    <w:rsid w:val="45280134"/>
    <w:rsid w:val="45685C95"/>
    <w:rsid w:val="4599A02B"/>
    <w:rsid w:val="45F4B780"/>
    <w:rsid w:val="462EB0C7"/>
    <w:rsid w:val="473E9775"/>
    <w:rsid w:val="47D8312F"/>
    <w:rsid w:val="48F0205C"/>
    <w:rsid w:val="49198DCD"/>
    <w:rsid w:val="49496C94"/>
    <w:rsid w:val="494F197C"/>
    <w:rsid w:val="4AEAB400"/>
    <w:rsid w:val="4B636A36"/>
    <w:rsid w:val="4B68DAA8"/>
    <w:rsid w:val="4B725E8D"/>
    <w:rsid w:val="4BA98FB1"/>
    <w:rsid w:val="4BD9DB36"/>
    <w:rsid w:val="4C07060E"/>
    <w:rsid w:val="4C7FAC08"/>
    <w:rsid w:val="4CADA5F8"/>
    <w:rsid w:val="4D10A14D"/>
    <w:rsid w:val="4DADBAFA"/>
    <w:rsid w:val="4E00442C"/>
    <w:rsid w:val="4E93C063"/>
    <w:rsid w:val="4F223852"/>
    <w:rsid w:val="4F2C5690"/>
    <w:rsid w:val="508D04C1"/>
    <w:rsid w:val="50AF06D6"/>
    <w:rsid w:val="516E16C0"/>
    <w:rsid w:val="51D17D6F"/>
    <w:rsid w:val="534D2985"/>
    <w:rsid w:val="53627A11"/>
    <w:rsid w:val="53A448CF"/>
    <w:rsid w:val="53DF62B8"/>
    <w:rsid w:val="546AB6B1"/>
    <w:rsid w:val="548D0660"/>
    <w:rsid w:val="556341F5"/>
    <w:rsid w:val="5565D59E"/>
    <w:rsid w:val="57F6B3B1"/>
    <w:rsid w:val="583778EA"/>
    <w:rsid w:val="586797B0"/>
    <w:rsid w:val="58ECF0E6"/>
    <w:rsid w:val="598160EB"/>
    <w:rsid w:val="5A12E7F8"/>
    <w:rsid w:val="5A9C5991"/>
    <w:rsid w:val="5B89153B"/>
    <w:rsid w:val="5C08C72F"/>
    <w:rsid w:val="5C5063BE"/>
    <w:rsid w:val="5C995452"/>
    <w:rsid w:val="5CE16D00"/>
    <w:rsid w:val="5CEB020E"/>
    <w:rsid w:val="5DAF6ADE"/>
    <w:rsid w:val="5DF35C95"/>
    <w:rsid w:val="5E36FFC4"/>
    <w:rsid w:val="606CD039"/>
    <w:rsid w:val="6154E800"/>
    <w:rsid w:val="61B9BA45"/>
    <w:rsid w:val="61DEB5C1"/>
    <w:rsid w:val="622E8A9A"/>
    <w:rsid w:val="62D6EB6B"/>
    <w:rsid w:val="63C36571"/>
    <w:rsid w:val="6417BEA3"/>
    <w:rsid w:val="6418A602"/>
    <w:rsid w:val="64DB3116"/>
    <w:rsid w:val="661A9CE2"/>
    <w:rsid w:val="6632090A"/>
    <w:rsid w:val="663F2DE0"/>
    <w:rsid w:val="67172AD6"/>
    <w:rsid w:val="67848EC6"/>
    <w:rsid w:val="682DE79D"/>
    <w:rsid w:val="68A69610"/>
    <w:rsid w:val="693070F1"/>
    <w:rsid w:val="6A806B0E"/>
    <w:rsid w:val="6AE44B63"/>
    <w:rsid w:val="6B56B53B"/>
    <w:rsid w:val="6B7E0D6D"/>
    <w:rsid w:val="6BC9FA7B"/>
    <w:rsid w:val="6C6B93D0"/>
    <w:rsid w:val="6DC83988"/>
    <w:rsid w:val="6E24F9A5"/>
    <w:rsid w:val="6E642196"/>
    <w:rsid w:val="6EB87BEF"/>
    <w:rsid w:val="6EE10FD9"/>
    <w:rsid w:val="6FD21C98"/>
    <w:rsid w:val="71075149"/>
    <w:rsid w:val="7178356C"/>
    <w:rsid w:val="71B8818D"/>
    <w:rsid w:val="7215275B"/>
    <w:rsid w:val="7268BB2A"/>
    <w:rsid w:val="7314ABAD"/>
    <w:rsid w:val="73A4920B"/>
    <w:rsid w:val="73BE8CC9"/>
    <w:rsid w:val="742485E4"/>
    <w:rsid w:val="74CDAC7D"/>
    <w:rsid w:val="757127E9"/>
    <w:rsid w:val="75783ACB"/>
    <w:rsid w:val="760114DD"/>
    <w:rsid w:val="76CAE4AE"/>
    <w:rsid w:val="7788D6E1"/>
    <w:rsid w:val="77979FBC"/>
    <w:rsid w:val="7799EC1C"/>
    <w:rsid w:val="77DBADE9"/>
    <w:rsid w:val="78D53037"/>
    <w:rsid w:val="792734FF"/>
    <w:rsid w:val="7A4E29BE"/>
    <w:rsid w:val="7A661FE1"/>
    <w:rsid w:val="7A95F070"/>
    <w:rsid w:val="7B03000C"/>
    <w:rsid w:val="7BCE7C7A"/>
    <w:rsid w:val="7BEC88A6"/>
    <w:rsid w:val="7BEFACF8"/>
    <w:rsid w:val="7C643FA5"/>
    <w:rsid w:val="7CD4483C"/>
    <w:rsid w:val="7D0F1A78"/>
    <w:rsid w:val="7D24CABD"/>
    <w:rsid w:val="7F1C8230"/>
    <w:rsid w:val="7F8F74F5"/>
    <w:rsid w:val="7FB16915"/>
    <w:rsid w:val="7FBF9F97"/>
    <w:rsid w:val="7FDEF4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5E526"/>
  <w15:chartTrackingRefBased/>
  <w15:docId w15:val="{39A15091-22F3-45A5-8FCD-016803A1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A93"/>
    <w:pPr>
      <w:spacing w:after="200" w:line="252" w:lineRule="auto"/>
    </w:pPr>
    <w:rPr>
      <w:rFonts w:ascii="Source Serif Pro" w:hAnsi="Source Serif Pro"/>
      <w:spacing w:val="-6"/>
    </w:rPr>
  </w:style>
  <w:style w:type="paragraph" w:styleId="Heading1">
    <w:name w:val="heading 1"/>
    <w:basedOn w:val="Normal"/>
    <w:next w:val="Normal"/>
    <w:link w:val="Heading1Char"/>
    <w:qFormat/>
    <w:rsid w:val="00E82C5C"/>
    <w:pPr>
      <w:keepNext/>
      <w:keepLines/>
      <w:spacing w:after="120"/>
      <w:outlineLvl w:val="0"/>
    </w:pPr>
    <w:rPr>
      <w:rFonts w:ascii="Arial" w:eastAsiaTheme="majorEastAsia" w:hAnsi="Arial" w:cstheme="majorBidi"/>
      <w:b/>
      <w:color w:val="3B3838" w:themeColor="background2" w:themeShade="40"/>
      <w:sz w:val="40"/>
      <w:szCs w:val="32"/>
    </w:rPr>
  </w:style>
  <w:style w:type="paragraph" w:styleId="Heading2">
    <w:name w:val="heading 2"/>
    <w:aliases w:val="H2"/>
    <w:basedOn w:val="Normal"/>
    <w:next w:val="Normal"/>
    <w:link w:val="Heading2Char"/>
    <w:uiPriority w:val="9"/>
    <w:unhideWhenUsed/>
    <w:qFormat/>
    <w:rsid w:val="00AA262A"/>
    <w:pPr>
      <w:keepNext/>
      <w:keepLines/>
      <w:spacing w:before="360" w:after="120"/>
      <w:outlineLvl w:val="1"/>
    </w:pPr>
    <w:rPr>
      <w:rFonts w:ascii="Source Sans Pro" w:eastAsiaTheme="majorEastAsia" w:hAnsi="Source Sans Pro" w:cstheme="majorBidi"/>
      <w:b/>
      <w:color w:val="093453"/>
      <w:sz w:val="36"/>
      <w:szCs w:val="26"/>
    </w:rPr>
  </w:style>
  <w:style w:type="paragraph" w:styleId="Heading3">
    <w:name w:val="heading 3"/>
    <w:aliases w:val="H3,Heading 3: OPM Gray"/>
    <w:basedOn w:val="Normal"/>
    <w:next w:val="Normal"/>
    <w:link w:val="Heading3Char"/>
    <w:unhideWhenUsed/>
    <w:qFormat/>
    <w:rsid w:val="00E358DA"/>
    <w:pPr>
      <w:keepNext/>
      <w:keepLines/>
      <w:spacing w:before="240" w:after="120"/>
      <w:outlineLvl w:val="2"/>
    </w:pPr>
    <w:rPr>
      <w:rFonts w:ascii="Source Sans Pro" w:eastAsiaTheme="majorEastAsia" w:hAnsi="Source Sans Pro" w:cstheme="majorBidi"/>
      <w:b/>
      <w:color w:val="727477"/>
      <w:sz w:val="32"/>
      <w:szCs w:val="24"/>
    </w:rPr>
  </w:style>
  <w:style w:type="paragraph" w:styleId="Heading4">
    <w:name w:val="heading 4"/>
    <w:aliases w:val="H4"/>
    <w:basedOn w:val="Normal"/>
    <w:next w:val="Normal"/>
    <w:link w:val="Heading4Char"/>
    <w:unhideWhenUsed/>
    <w:qFormat/>
    <w:rsid w:val="0014210D"/>
    <w:pPr>
      <w:keepNext/>
      <w:keepLines/>
      <w:spacing w:before="240" w:after="120"/>
      <w:outlineLvl w:val="3"/>
    </w:pPr>
    <w:rPr>
      <w:rFonts w:ascii="Source Sans Pro" w:eastAsiaTheme="majorEastAsia" w:hAnsi="Source Sans Pro" w:cstheme="majorBidi"/>
      <w:b/>
      <w:iCs/>
      <w:color w:val="57595B"/>
      <w:sz w:val="28"/>
    </w:rPr>
  </w:style>
  <w:style w:type="paragraph" w:styleId="Heading5">
    <w:name w:val="heading 5"/>
    <w:aliases w:val="H5"/>
    <w:basedOn w:val="Normal"/>
    <w:next w:val="Normal"/>
    <w:link w:val="Heading5Char"/>
    <w:unhideWhenUsed/>
    <w:qFormat/>
    <w:rsid w:val="00776699"/>
    <w:pPr>
      <w:keepNext/>
      <w:keepLines/>
      <w:pBdr>
        <w:bottom w:val="single" w:sz="4" w:space="1" w:color="auto"/>
      </w:pBdr>
      <w:spacing w:before="40" w:after="80"/>
      <w:outlineLvl w:val="4"/>
    </w:pPr>
    <w:rPr>
      <w:rFonts w:eastAsiaTheme="majorEastAsia" w:cstheme="majorBidi"/>
      <w:b/>
      <w:color w:val="000000" w:themeColor="text1"/>
    </w:rPr>
  </w:style>
  <w:style w:type="paragraph" w:styleId="Heading6">
    <w:name w:val="heading 6"/>
    <w:basedOn w:val="Normal"/>
    <w:next w:val="Normal"/>
    <w:link w:val="Heading6Char"/>
    <w:qFormat/>
    <w:rsid w:val="00960C35"/>
    <w:pPr>
      <w:widowControl w:val="0"/>
      <w:spacing w:before="240" w:after="60" w:line="240" w:lineRule="auto"/>
      <w:outlineLvl w:val="5"/>
    </w:pPr>
    <w:rPr>
      <w:rFonts w:ascii="Times New Roman" w:eastAsia="Times New Roman" w:hAnsi="Times New Roman" w:cs="Times New Roman"/>
      <w:i/>
      <w:snapToGrid w:val="0"/>
      <w:spacing w:val="0"/>
      <w:szCs w:val="20"/>
    </w:rPr>
  </w:style>
  <w:style w:type="paragraph" w:styleId="Heading7">
    <w:name w:val="heading 7"/>
    <w:basedOn w:val="Normal"/>
    <w:next w:val="Normal"/>
    <w:link w:val="Heading7Char"/>
    <w:unhideWhenUsed/>
    <w:qFormat/>
    <w:rsid w:val="007645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76456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960C35"/>
    <w:pPr>
      <w:widowControl w:val="0"/>
      <w:spacing w:before="240" w:after="60" w:line="240" w:lineRule="auto"/>
      <w:outlineLvl w:val="8"/>
    </w:pPr>
    <w:rPr>
      <w:rFonts w:ascii="Arial" w:eastAsia="Times New Roman" w:hAnsi="Arial" w:cs="Times New Roman"/>
      <w:b/>
      <w:i/>
      <w:snapToGrid w:val="0"/>
      <w:spacing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C5C"/>
    <w:rPr>
      <w:rFonts w:ascii="Arial" w:eastAsiaTheme="majorEastAsia" w:hAnsi="Arial" w:cstheme="majorBidi"/>
      <w:b/>
      <w:color w:val="3B3838" w:themeColor="background2" w:themeShade="40"/>
      <w:sz w:val="40"/>
      <w:szCs w:val="32"/>
    </w:rPr>
  </w:style>
  <w:style w:type="paragraph" w:styleId="ListNumber">
    <w:name w:val="List Number"/>
    <w:basedOn w:val="Normal"/>
    <w:uiPriority w:val="99"/>
    <w:unhideWhenUsed/>
    <w:rsid w:val="00CD70DA"/>
    <w:pPr>
      <w:numPr>
        <w:numId w:val="1"/>
      </w:numPr>
      <w:spacing w:after="160" w:line="264" w:lineRule="auto"/>
    </w:pPr>
  </w:style>
  <w:style w:type="character" w:customStyle="1" w:styleId="DefaultparagraphfontStrong">
    <w:name w:val="Default paragraph font: Strong"/>
    <w:basedOn w:val="DefaultParagraphFont"/>
    <w:uiPriority w:val="1"/>
    <w:qFormat/>
    <w:rsid w:val="00CF5F1D"/>
    <w:rPr>
      <w:b/>
    </w:rPr>
  </w:style>
  <w:style w:type="character" w:customStyle="1" w:styleId="Heading2Char">
    <w:name w:val="Heading 2 Char"/>
    <w:aliases w:val="H2 Char"/>
    <w:basedOn w:val="DefaultParagraphFont"/>
    <w:link w:val="Heading2"/>
    <w:uiPriority w:val="9"/>
    <w:rsid w:val="00AA262A"/>
    <w:rPr>
      <w:rFonts w:ascii="Source Sans Pro" w:eastAsiaTheme="majorEastAsia" w:hAnsi="Source Sans Pro" w:cstheme="majorBidi"/>
      <w:b/>
      <w:color w:val="093453"/>
      <w:spacing w:val="-6"/>
      <w:sz w:val="36"/>
      <w:szCs w:val="26"/>
    </w:rPr>
  </w:style>
  <w:style w:type="character" w:customStyle="1" w:styleId="Heading3Char">
    <w:name w:val="Heading 3 Char"/>
    <w:aliases w:val="H3 Char,Heading 3: OPM Gray Char"/>
    <w:basedOn w:val="DefaultParagraphFont"/>
    <w:link w:val="Heading3"/>
    <w:uiPriority w:val="9"/>
    <w:rsid w:val="00E358DA"/>
    <w:rPr>
      <w:rFonts w:ascii="Source Sans Pro" w:eastAsiaTheme="majorEastAsia" w:hAnsi="Source Sans Pro" w:cstheme="majorBidi"/>
      <w:b/>
      <w:color w:val="727477"/>
      <w:spacing w:val="-6"/>
      <w:sz w:val="32"/>
      <w:szCs w:val="24"/>
    </w:rPr>
  </w:style>
  <w:style w:type="paragraph" w:customStyle="1" w:styleId="Heading1TOC">
    <w:name w:val="Heading 1: TOC"/>
    <w:basedOn w:val="Heading1"/>
    <w:next w:val="Normal"/>
    <w:qFormat/>
    <w:rsid w:val="00445A33"/>
    <w:rPr>
      <w:rFonts w:ascii="Source Sans Pro" w:hAnsi="Source Sans Pro"/>
      <w:color w:val="093453"/>
      <w:sz w:val="32"/>
    </w:rPr>
  </w:style>
  <w:style w:type="paragraph" w:styleId="Header">
    <w:name w:val="header"/>
    <w:basedOn w:val="Normal"/>
    <w:link w:val="HeaderChar"/>
    <w:uiPriority w:val="99"/>
    <w:unhideWhenUsed/>
    <w:rsid w:val="00DC23E2"/>
    <w:pPr>
      <w:tabs>
        <w:tab w:val="center" w:pos="4680"/>
        <w:tab w:val="right" w:pos="9360"/>
      </w:tabs>
      <w:spacing w:after="0"/>
      <w:jc w:val="center"/>
    </w:pPr>
    <w:rPr>
      <w:rFonts w:ascii="Source Sans Pro" w:hAnsi="Source Sans Pro"/>
      <w:color w:val="3B3838" w:themeColor="background2" w:themeShade="40"/>
    </w:rPr>
  </w:style>
  <w:style w:type="character" w:customStyle="1" w:styleId="HeaderChar">
    <w:name w:val="Header Char"/>
    <w:basedOn w:val="DefaultParagraphFont"/>
    <w:link w:val="Header"/>
    <w:uiPriority w:val="99"/>
    <w:rsid w:val="00DC23E2"/>
    <w:rPr>
      <w:rFonts w:ascii="Source Sans Pro" w:hAnsi="Source Sans Pro"/>
      <w:color w:val="3B3838" w:themeColor="background2" w:themeShade="40"/>
      <w:spacing w:val="-6"/>
    </w:rPr>
  </w:style>
  <w:style w:type="paragraph" w:styleId="Footer">
    <w:name w:val="footer"/>
    <w:basedOn w:val="Normal"/>
    <w:link w:val="FooterChar"/>
    <w:uiPriority w:val="99"/>
    <w:unhideWhenUsed/>
    <w:rsid w:val="00DC23E2"/>
    <w:pPr>
      <w:tabs>
        <w:tab w:val="center" w:pos="4680"/>
        <w:tab w:val="right" w:pos="9360"/>
      </w:tabs>
      <w:spacing w:after="0"/>
    </w:pPr>
    <w:rPr>
      <w:rFonts w:ascii="Source Sans Pro" w:hAnsi="Source Sans Pro"/>
      <w:color w:val="000000" w:themeColor="text1"/>
    </w:rPr>
  </w:style>
  <w:style w:type="character" w:customStyle="1" w:styleId="FooterChar">
    <w:name w:val="Footer Char"/>
    <w:basedOn w:val="DefaultParagraphFont"/>
    <w:link w:val="Footer"/>
    <w:uiPriority w:val="99"/>
    <w:rsid w:val="00DC23E2"/>
    <w:rPr>
      <w:rFonts w:ascii="Source Sans Pro" w:hAnsi="Source Sans Pro"/>
      <w:color w:val="000000" w:themeColor="text1"/>
      <w:spacing w:val="-6"/>
    </w:rPr>
  </w:style>
  <w:style w:type="paragraph" w:customStyle="1" w:styleId="Heading1Appendix">
    <w:name w:val="Heading 1: Appendix"/>
    <w:basedOn w:val="Heading1"/>
    <w:next w:val="Normal"/>
    <w:qFormat/>
    <w:rsid w:val="006859F3"/>
    <w:pPr>
      <w:numPr>
        <w:numId w:val="2"/>
      </w:numPr>
    </w:pPr>
    <w:rPr>
      <w:rFonts w:ascii="Source Sans Pro" w:hAnsi="Source Sans Pro"/>
      <w:sz w:val="32"/>
    </w:rPr>
  </w:style>
  <w:style w:type="paragraph" w:customStyle="1" w:styleId="H1Section">
    <w:name w:val="H1: Section"/>
    <w:basedOn w:val="Heading1"/>
    <w:next w:val="Normal"/>
    <w:qFormat/>
    <w:rsid w:val="00AA262A"/>
    <w:rPr>
      <w:rFonts w:ascii="Source Sans Pro" w:hAnsi="Source Sans Pro"/>
      <w:color w:val="009ED1"/>
      <w:spacing w:val="-8"/>
    </w:rPr>
  </w:style>
  <w:style w:type="paragraph" w:styleId="TOC1">
    <w:name w:val="toc 1"/>
    <w:basedOn w:val="Normal"/>
    <w:next w:val="Normal"/>
    <w:autoRedefine/>
    <w:uiPriority w:val="39"/>
    <w:unhideWhenUsed/>
    <w:rsid w:val="00445A33"/>
    <w:pPr>
      <w:spacing w:after="100"/>
    </w:pPr>
    <w:rPr>
      <w:rFonts w:ascii="Source Sans Pro" w:hAnsi="Source Sans Pro"/>
      <w:b/>
    </w:rPr>
  </w:style>
  <w:style w:type="paragraph" w:styleId="TOC2">
    <w:name w:val="toc 2"/>
    <w:basedOn w:val="Normal"/>
    <w:next w:val="Normal"/>
    <w:autoRedefine/>
    <w:uiPriority w:val="39"/>
    <w:unhideWhenUsed/>
    <w:rsid w:val="00A838B5"/>
    <w:pPr>
      <w:tabs>
        <w:tab w:val="right" w:leader="dot" w:pos="9350"/>
      </w:tabs>
      <w:spacing w:after="100"/>
      <w:ind w:left="240"/>
    </w:pPr>
    <w:rPr>
      <w:rFonts w:ascii="Source Sans Pro" w:hAnsi="Source Sans Pro"/>
    </w:rPr>
  </w:style>
  <w:style w:type="character" w:styleId="Hyperlink">
    <w:name w:val="Hyperlink"/>
    <w:basedOn w:val="DefaultParagraphFont"/>
    <w:uiPriority w:val="99"/>
    <w:unhideWhenUsed/>
    <w:rsid w:val="006B1A93"/>
    <w:rPr>
      <w:color w:val="0057AD"/>
      <w:u w:val="single"/>
    </w:rPr>
  </w:style>
  <w:style w:type="paragraph" w:styleId="ListBullet">
    <w:name w:val="List Bullet"/>
    <w:basedOn w:val="Normal"/>
    <w:uiPriority w:val="99"/>
    <w:unhideWhenUsed/>
    <w:rsid w:val="00A83D8E"/>
    <w:pPr>
      <w:numPr>
        <w:numId w:val="3"/>
      </w:numPr>
      <w:spacing w:after="160" w:line="264" w:lineRule="auto"/>
      <w:ind w:left="432" w:hanging="432"/>
    </w:pPr>
  </w:style>
  <w:style w:type="paragraph" w:styleId="ListBullet2">
    <w:name w:val="List Bullet 2"/>
    <w:basedOn w:val="Normal"/>
    <w:uiPriority w:val="99"/>
    <w:unhideWhenUsed/>
    <w:rsid w:val="00D01EE4"/>
    <w:pPr>
      <w:numPr>
        <w:numId w:val="4"/>
      </w:numPr>
      <w:spacing w:after="160" w:line="264" w:lineRule="auto"/>
    </w:pPr>
  </w:style>
  <w:style w:type="paragraph" w:styleId="ListBullet3">
    <w:name w:val="List Bullet 3"/>
    <w:basedOn w:val="Normal"/>
    <w:uiPriority w:val="99"/>
    <w:unhideWhenUsed/>
    <w:rsid w:val="00D01EE4"/>
    <w:pPr>
      <w:numPr>
        <w:numId w:val="5"/>
      </w:numPr>
      <w:spacing w:after="160" w:line="264" w:lineRule="auto"/>
    </w:pPr>
  </w:style>
  <w:style w:type="paragraph" w:styleId="ListNumber2">
    <w:name w:val="List Number 2"/>
    <w:basedOn w:val="Normal"/>
    <w:uiPriority w:val="99"/>
    <w:unhideWhenUsed/>
    <w:rsid w:val="005012DB"/>
    <w:pPr>
      <w:numPr>
        <w:numId w:val="6"/>
      </w:numPr>
      <w:spacing w:after="160" w:line="264" w:lineRule="auto"/>
    </w:pPr>
  </w:style>
  <w:style w:type="paragraph" w:styleId="ListNumber3">
    <w:name w:val="List Number 3"/>
    <w:basedOn w:val="Normal"/>
    <w:uiPriority w:val="99"/>
    <w:unhideWhenUsed/>
    <w:rsid w:val="00D765D6"/>
    <w:pPr>
      <w:numPr>
        <w:numId w:val="7"/>
      </w:numPr>
      <w:spacing w:after="160" w:line="264" w:lineRule="auto"/>
    </w:pPr>
  </w:style>
  <w:style w:type="paragraph" w:customStyle="1" w:styleId="NormalAfterlist">
    <w:name w:val="Normal: After list"/>
    <w:basedOn w:val="ListBullet"/>
    <w:next w:val="Normal"/>
    <w:qFormat/>
    <w:rsid w:val="0094303A"/>
    <w:pPr>
      <w:numPr>
        <w:numId w:val="0"/>
      </w:numPr>
      <w:spacing w:before="200" w:after="200" w:line="240" w:lineRule="auto"/>
    </w:pPr>
  </w:style>
  <w:style w:type="table" w:styleId="TableGrid">
    <w:name w:val="Table Grid"/>
    <w:basedOn w:val="TableNormal"/>
    <w:uiPriority w:val="59"/>
    <w:rsid w:val="00445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able">
    <w:name w:val="Normal: After table"/>
    <w:basedOn w:val="Normal"/>
    <w:next w:val="Normal"/>
    <w:qFormat/>
    <w:rsid w:val="0044560B"/>
    <w:pPr>
      <w:spacing w:before="200"/>
    </w:pPr>
  </w:style>
  <w:style w:type="paragraph" w:customStyle="1" w:styleId="NormalTable">
    <w:name w:val="Normal: Table"/>
    <w:basedOn w:val="NormalSans"/>
    <w:qFormat/>
    <w:rsid w:val="00897CD1"/>
    <w:pPr>
      <w:spacing w:before="40" w:after="20" w:line="264" w:lineRule="auto"/>
    </w:pPr>
  </w:style>
  <w:style w:type="table" w:customStyle="1" w:styleId="TableRowandColumnHeaders">
    <w:name w:val="Table: Row and Column Headers"/>
    <w:basedOn w:val="TableNormal"/>
    <w:uiPriority w:val="99"/>
    <w:rsid w:val="007571A9"/>
    <w:pPr>
      <w:spacing w:after="0" w:line="240" w:lineRule="auto"/>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pPr>
        <w:jc w:val="left"/>
      </w:pPr>
      <w:rPr>
        <w:b/>
      </w:rPr>
      <w:tblPr/>
      <w:trPr>
        <w:tblHeader/>
      </w:trPr>
      <w:tcPr>
        <w:shd w:val="clear" w:color="auto" w:fill="D9D9D9" w:themeFill="background1" w:themeFillShade="D9"/>
      </w:tcPr>
    </w:tblStylePr>
    <w:tblStylePr w:type="firstCol">
      <w:pPr>
        <w:jc w:val="left"/>
      </w:pPr>
      <w:rPr>
        <w:b/>
      </w:rPr>
      <w:tblPr/>
      <w:tcPr>
        <w:shd w:val="clear" w:color="auto" w:fill="D9D9D9" w:themeFill="background1" w:themeFillShade="D9"/>
      </w:tcPr>
    </w:tblStylePr>
  </w:style>
  <w:style w:type="table" w:customStyle="1" w:styleId="TableColumnHeaders">
    <w:name w:val="Table: Column Headers"/>
    <w:basedOn w:val="TableRowandColumnHeaders"/>
    <w:uiPriority w:val="99"/>
    <w:rsid w:val="00A003F5"/>
    <w:tblPr/>
    <w:tblStylePr w:type="firstRow">
      <w:pPr>
        <w:jc w:val="left"/>
      </w:pPr>
      <w:rPr>
        <w:b/>
      </w:rPr>
      <w:tblPr/>
      <w:trPr>
        <w:tblHeader/>
      </w:trPr>
      <w:tcPr>
        <w:shd w:val="clear" w:color="auto" w:fill="D9D9D9" w:themeFill="background1" w:themeFillShade="D9"/>
      </w:tcPr>
    </w:tblStylePr>
    <w:tblStylePr w:type="firstCol">
      <w:pPr>
        <w:jc w:val="left"/>
      </w:pPr>
      <w:rPr>
        <w:b w:val="0"/>
      </w:rPr>
      <w:tblPr/>
      <w:tcPr>
        <w:shd w:val="clear" w:color="auto" w:fill="FFFFFF" w:themeFill="background1"/>
      </w:tcPr>
    </w:tblStylePr>
  </w:style>
  <w:style w:type="paragraph" w:styleId="TOC3">
    <w:name w:val="toc 3"/>
    <w:basedOn w:val="Normal"/>
    <w:next w:val="Normal"/>
    <w:autoRedefine/>
    <w:uiPriority w:val="39"/>
    <w:unhideWhenUsed/>
    <w:rsid w:val="00445A33"/>
    <w:pPr>
      <w:spacing w:after="100"/>
      <w:ind w:left="480"/>
    </w:pPr>
    <w:rPr>
      <w:rFonts w:ascii="Source Sans Pro" w:hAnsi="Source Sans Pro"/>
    </w:rPr>
  </w:style>
  <w:style w:type="character" w:styleId="CommentReference">
    <w:name w:val="annotation reference"/>
    <w:basedOn w:val="DefaultParagraphFont"/>
    <w:uiPriority w:val="99"/>
    <w:unhideWhenUsed/>
    <w:rsid w:val="0064064B"/>
    <w:rPr>
      <w:sz w:val="16"/>
      <w:szCs w:val="16"/>
    </w:rPr>
  </w:style>
  <w:style w:type="paragraph" w:styleId="CommentText">
    <w:name w:val="annotation text"/>
    <w:basedOn w:val="Normal"/>
    <w:link w:val="CommentTextChar"/>
    <w:uiPriority w:val="99"/>
    <w:unhideWhenUsed/>
    <w:rsid w:val="0064064B"/>
    <w:rPr>
      <w:sz w:val="20"/>
      <w:szCs w:val="20"/>
    </w:rPr>
  </w:style>
  <w:style w:type="character" w:customStyle="1" w:styleId="CommentTextChar">
    <w:name w:val="Comment Text Char"/>
    <w:basedOn w:val="DefaultParagraphFont"/>
    <w:link w:val="CommentText"/>
    <w:uiPriority w:val="99"/>
    <w:rsid w:val="0064064B"/>
    <w:rPr>
      <w:sz w:val="20"/>
      <w:szCs w:val="20"/>
    </w:rPr>
  </w:style>
  <w:style w:type="paragraph" w:styleId="CommentSubject">
    <w:name w:val="annotation subject"/>
    <w:basedOn w:val="CommentText"/>
    <w:next w:val="CommentText"/>
    <w:link w:val="CommentSubjectChar"/>
    <w:uiPriority w:val="99"/>
    <w:semiHidden/>
    <w:unhideWhenUsed/>
    <w:rsid w:val="0064064B"/>
    <w:rPr>
      <w:b/>
      <w:bCs/>
    </w:rPr>
  </w:style>
  <w:style w:type="character" w:customStyle="1" w:styleId="CommentSubjectChar">
    <w:name w:val="Comment Subject Char"/>
    <w:basedOn w:val="CommentTextChar"/>
    <w:link w:val="CommentSubject"/>
    <w:uiPriority w:val="99"/>
    <w:semiHidden/>
    <w:rsid w:val="0064064B"/>
    <w:rPr>
      <w:b/>
      <w:bCs/>
      <w:sz w:val="20"/>
      <w:szCs w:val="20"/>
    </w:rPr>
  </w:style>
  <w:style w:type="paragraph" w:styleId="BalloonText">
    <w:name w:val="Balloon Text"/>
    <w:basedOn w:val="Normal"/>
    <w:link w:val="BalloonTextChar"/>
    <w:uiPriority w:val="99"/>
    <w:semiHidden/>
    <w:unhideWhenUsed/>
    <w:rsid w:val="006406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64B"/>
    <w:rPr>
      <w:rFonts w:ascii="Segoe UI" w:hAnsi="Segoe UI" w:cs="Segoe UI"/>
      <w:sz w:val="18"/>
      <w:szCs w:val="18"/>
    </w:rPr>
  </w:style>
  <w:style w:type="character" w:styleId="UnresolvedMention">
    <w:name w:val="Unresolved Mention"/>
    <w:basedOn w:val="DefaultParagraphFont"/>
    <w:uiPriority w:val="99"/>
    <w:semiHidden/>
    <w:unhideWhenUsed/>
    <w:rsid w:val="009E4811"/>
    <w:rPr>
      <w:color w:val="605E5C"/>
      <w:shd w:val="clear" w:color="auto" w:fill="E1DFDD"/>
    </w:rPr>
  </w:style>
  <w:style w:type="character" w:customStyle="1" w:styleId="Heading4Char">
    <w:name w:val="Heading 4 Char"/>
    <w:aliases w:val="H4 Char"/>
    <w:basedOn w:val="DefaultParagraphFont"/>
    <w:link w:val="Heading4"/>
    <w:uiPriority w:val="9"/>
    <w:rsid w:val="0014210D"/>
    <w:rPr>
      <w:rFonts w:ascii="Source Sans Pro" w:eastAsiaTheme="majorEastAsia" w:hAnsi="Source Sans Pro" w:cstheme="majorBidi"/>
      <w:b/>
      <w:iCs/>
      <w:color w:val="57595B"/>
      <w:spacing w:val="-6"/>
      <w:sz w:val="28"/>
    </w:rPr>
  </w:style>
  <w:style w:type="character" w:customStyle="1" w:styleId="DefaultparagraphfontEmphasis">
    <w:name w:val="Default paragraph font: Emphasis"/>
    <w:basedOn w:val="DefaultParagraphFont"/>
    <w:uiPriority w:val="1"/>
    <w:qFormat/>
    <w:rsid w:val="00B953C5"/>
    <w:rPr>
      <w:i/>
    </w:rPr>
  </w:style>
  <w:style w:type="character" w:styleId="Mention">
    <w:name w:val="Mention"/>
    <w:basedOn w:val="DefaultParagraphFont"/>
    <w:uiPriority w:val="99"/>
    <w:unhideWhenUsed/>
    <w:rPr>
      <w:color w:val="2B579A"/>
      <w:shd w:val="clear" w:color="auto" w:fill="E6E6E6"/>
    </w:rPr>
  </w:style>
  <w:style w:type="paragraph" w:customStyle="1" w:styleId="Heading1Directorsmessage">
    <w:name w:val="Heading 1: Director's message"/>
    <w:basedOn w:val="Heading1"/>
    <w:next w:val="Normal"/>
    <w:qFormat/>
    <w:rsid w:val="00DC23E2"/>
    <w:rPr>
      <w:rFonts w:ascii="Source Sans Pro" w:hAnsi="Source Sans Pro"/>
      <w:color w:val="093453"/>
      <w:sz w:val="32"/>
    </w:rPr>
  </w:style>
  <w:style w:type="character" w:customStyle="1" w:styleId="Heading5Char">
    <w:name w:val="Heading 5 Char"/>
    <w:aliases w:val="H5 Char"/>
    <w:basedOn w:val="DefaultParagraphFont"/>
    <w:link w:val="Heading5"/>
    <w:rsid w:val="00776699"/>
    <w:rPr>
      <w:rFonts w:ascii="Source Serif Pro" w:eastAsiaTheme="majorEastAsia" w:hAnsi="Source Serif Pro" w:cstheme="majorBidi"/>
      <w:b/>
      <w:color w:val="000000" w:themeColor="text1"/>
      <w:spacing w:val="-6"/>
    </w:rPr>
  </w:style>
  <w:style w:type="paragraph" w:customStyle="1" w:styleId="NormalSans">
    <w:name w:val="Normal: Sans"/>
    <w:basedOn w:val="Normal"/>
    <w:qFormat/>
    <w:rsid w:val="000C45A8"/>
    <w:rPr>
      <w:rFonts w:ascii="Source Sans Pro" w:hAnsi="Source Sans Pro"/>
    </w:rPr>
  </w:style>
  <w:style w:type="paragraph" w:styleId="Revision">
    <w:name w:val="Revision"/>
    <w:hidden/>
    <w:uiPriority w:val="99"/>
    <w:semiHidden/>
    <w:rsid w:val="00AA262A"/>
    <w:pPr>
      <w:spacing w:after="0" w:line="240" w:lineRule="auto"/>
    </w:pPr>
    <w:rPr>
      <w:rFonts w:ascii="Source Serif Pro" w:hAnsi="Source Serif Pro"/>
      <w:spacing w:val="-6"/>
    </w:rPr>
  </w:style>
  <w:style w:type="paragraph" w:customStyle="1" w:styleId="Heading3OPMRedLimitedUse">
    <w:name w:val="Heading 3: OPM Red: Limited Use"/>
    <w:basedOn w:val="Heading3"/>
    <w:qFormat/>
    <w:rsid w:val="00E358DA"/>
    <w:rPr>
      <w:color w:val="D13138"/>
    </w:rPr>
  </w:style>
  <w:style w:type="numbering" w:customStyle="1" w:styleId="CurrentList1">
    <w:name w:val="Current List1"/>
    <w:uiPriority w:val="99"/>
    <w:rsid w:val="00475138"/>
    <w:pPr>
      <w:numPr>
        <w:numId w:val="8"/>
      </w:numPr>
    </w:pPr>
  </w:style>
  <w:style w:type="character" w:styleId="FollowedHyperlink">
    <w:name w:val="FollowedHyperlink"/>
    <w:basedOn w:val="DefaultParagraphFont"/>
    <w:unhideWhenUsed/>
    <w:rsid w:val="00BB7FBF"/>
    <w:rPr>
      <w:color w:val="954F72" w:themeColor="followedHyperlink"/>
      <w:u w:val="single"/>
    </w:rPr>
  </w:style>
  <w:style w:type="paragraph" w:styleId="ListParagraph">
    <w:name w:val="List Paragraph"/>
    <w:basedOn w:val="Normal"/>
    <w:link w:val="ListParagraphChar"/>
    <w:uiPriority w:val="34"/>
    <w:qFormat/>
    <w:rsid w:val="008E35C5"/>
    <w:pPr>
      <w:ind w:left="720"/>
      <w:contextualSpacing/>
    </w:pPr>
  </w:style>
  <w:style w:type="paragraph" w:styleId="FootnoteText">
    <w:name w:val="footnote text"/>
    <w:basedOn w:val="Normal"/>
    <w:link w:val="FootnoteTextChar"/>
    <w:uiPriority w:val="99"/>
    <w:unhideWhenUsed/>
    <w:rsid w:val="004F0EEA"/>
    <w:pPr>
      <w:spacing w:after="0" w:line="240" w:lineRule="auto"/>
    </w:pPr>
    <w:rPr>
      <w:rFonts w:asciiTheme="minorHAnsi" w:hAnsiTheme="minorHAnsi"/>
      <w:spacing w:val="0"/>
      <w:sz w:val="20"/>
      <w:szCs w:val="20"/>
    </w:rPr>
  </w:style>
  <w:style w:type="character" w:customStyle="1" w:styleId="FootnoteTextChar">
    <w:name w:val="Footnote Text Char"/>
    <w:basedOn w:val="DefaultParagraphFont"/>
    <w:link w:val="FootnoteText"/>
    <w:uiPriority w:val="99"/>
    <w:rsid w:val="004F0EEA"/>
    <w:rPr>
      <w:sz w:val="20"/>
      <w:szCs w:val="20"/>
    </w:rPr>
  </w:style>
  <w:style w:type="character" w:styleId="FootnoteReference">
    <w:name w:val="footnote reference"/>
    <w:basedOn w:val="DefaultParagraphFont"/>
    <w:uiPriority w:val="99"/>
    <w:semiHidden/>
    <w:unhideWhenUsed/>
    <w:rsid w:val="004F0EEA"/>
    <w:rPr>
      <w:vertAlign w:val="superscript"/>
    </w:rPr>
  </w:style>
  <w:style w:type="paragraph" w:styleId="Title">
    <w:name w:val="Title"/>
    <w:basedOn w:val="Normal"/>
    <w:next w:val="Normal"/>
    <w:link w:val="TitleChar"/>
    <w:uiPriority w:val="10"/>
    <w:qFormat/>
    <w:rsid w:val="004F0E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0EEA"/>
    <w:rPr>
      <w:rFonts w:asciiTheme="majorHAnsi" w:eastAsiaTheme="majorEastAsia" w:hAnsiTheme="majorHAnsi" w:cstheme="majorBidi"/>
      <w:spacing w:val="-10"/>
      <w:kern w:val="28"/>
      <w:sz w:val="56"/>
      <w:szCs w:val="56"/>
    </w:rPr>
  </w:style>
  <w:style w:type="paragraph" w:customStyle="1" w:styleId="Header2">
    <w:name w:val="Header 2"/>
    <w:basedOn w:val="Heading2"/>
    <w:link w:val="Header2Char"/>
    <w:qFormat/>
    <w:rsid w:val="004F0EEA"/>
    <w:pPr>
      <w:spacing w:before="40" w:after="0" w:line="276" w:lineRule="auto"/>
      <w:ind w:firstLine="360"/>
    </w:pPr>
    <w:rPr>
      <w:rFonts w:cstheme="minorHAnsi"/>
      <w:bCs/>
      <w:sz w:val="28"/>
      <w:szCs w:val="28"/>
    </w:rPr>
  </w:style>
  <w:style w:type="character" w:customStyle="1" w:styleId="Header2Char">
    <w:name w:val="Header 2 Char"/>
    <w:basedOn w:val="Heading2Char"/>
    <w:link w:val="Header2"/>
    <w:rsid w:val="004F0EEA"/>
    <w:rPr>
      <w:rFonts w:ascii="Source Sans Pro" w:eastAsiaTheme="majorEastAsia" w:hAnsi="Source Sans Pro" w:cstheme="minorHAnsi"/>
      <w:b/>
      <w:bCs/>
      <w:color w:val="093453"/>
      <w:spacing w:val="-6"/>
      <w:sz w:val="28"/>
      <w:szCs w:val="28"/>
    </w:rPr>
  </w:style>
  <w:style w:type="character" w:styleId="Emphasis">
    <w:name w:val="Emphasis"/>
    <w:basedOn w:val="DefaultParagraphFont"/>
    <w:uiPriority w:val="20"/>
    <w:qFormat/>
    <w:rsid w:val="004F0EEA"/>
    <w:rPr>
      <w:i/>
      <w:iCs/>
    </w:rPr>
  </w:style>
  <w:style w:type="character" w:customStyle="1" w:styleId="cf01">
    <w:name w:val="cf01"/>
    <w:basedOn w:val="DefaultParagraphFont"/>
    <w:rsid w:val="004F0EEA"/>
    <w:rPr>
      <w:rFonts w:ascii="Segoe UI" w:hAnsi="Segoe UI" w:cs="Segoe UI" w:hint="default"/>
      <w:sz w:val="18"/>
      <w:szCs w:val="18"/>
    </w:rPr>
  </w:style>
  <w:style w:type="paragraph" w:customStyle="1" w:styleId="pf0">
    <w:name w:val="pf0"/>
    <w:basedOn w:val="Normal"/>
    <w:rsid w:val="00764566"/>
    <w:pPr>
      <w:spacing w:before="100" w:beforeAutospacing="1" w:after="100" w:afterAutospacing="1" w:line="240" w:lineRule="auto"/>
    </w:pPr>
    <w:rPr>
      <w:rFonts w:ascii="Times New Roman" w:eastAsia="Times New Roman" w:hAnsi="Times New Roman" w:cs="Times New Roman"/>
      <w:spacing w:val="0"/>
      <w:sz w:val="24"/>
      <w:szCs w:val="24"/>
    </w:rPr>
  </w:style>
  <w:style w:type="table" w:styleId="PlainTable1">
    <w:name w:val="Plain Table 1"/>
    <w:basedOn w:val="TableNormal"/>
    <w:uiPriority w:val="41"/>
    <w:rsid w:val="007645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1">
    <w:name w:val="H1"/>
    <w:basedOn w:val="Heading1"/>
    <w:next w:val="Normal"/>
    <w:qFormat/>
    <w:rsid w:val="00764566"/>
    <w:rPr>
      <w:rFonts w:ascii="Source Sans Pro" w:hAnsi="Source Sans Pro"/>
      <w:color w:val="009ED1"/>
      <w:spacing w:val="-8"/>
    </w:rPr>
  </w:style>
  <w:style w:type="paragraph" w:customStyle="1" w:styleId="Header3">
    <w:name w:val="Header 3"/>
    <w:basedOn w:val="Heading2"/>
    <w:link w:val="Header3Char"/>
    <w:qFormat/>
    <w:rsid w:val="00764566"/>
    <w:pPr>
      <w:spacing w:before="40" w:after="0" w:line="276" w:lineRule="auto"/>
      <w:ind w:left="720" w:hanging="180"/>
    </w:pPr>
    <w:rPr>
      <w:rFonts w:asciiTheme="majorHAnsi" w:hAnsiTheme="majorHAnsi" w:cstheme="minorHAnsi"/>
      <w:bCs/>
      <w:color w:val="2F5496" w:themeColor="accent1" w:themeShade="BF"/>
      <w:sz w:val="28"/>
      <w:szCs w:val="28"/>
    </w:rPr>
  </w:style>
  <w:style w:type="character" w:customStyle="1" w:styleId="Header3Char">
    <w:name w:val="Header 3 Char"/>
    <w:basedOn w:val="Heading2Char"/>
    <w:link w:val="Header3"/>
    <w:rsid w:val="00764566"/>
    <w:rPr>
      <w:rFonts w:asciiTheme="majorHAnsi" w:eastAsiaTheme="majorEastAsia" w:hAnsiTheme="majorHAnsi" w:cstheme="minorHAnsi"/>
      <w:b/>
      <w:bCs/>
      <w:color w:val="2F5496" w:themeColor="accent1" w:themeShade="BF"/>
      <w:spacing w:val="-6"/>
      <w:sz w:val="28"/>
      <w:szCs w:val="28"/>
    </w:rPr>
  </w:style>
  <w:style w:type="paragraph" w:styleId="BodyText">
    <w:name w:val="Body Text"/>
    <w:basedOn w:val="Normal"/>
    <w:link w:val="BodyTextChar"/>
    <w:uiPriority w:val="1"/>
    <w:qFormat/>
    <w:rsid w:val="00764566"/>
    <w:pPr>
      <w:widowControl w:val="0"/>
      <w:tabs>
        <w:tab w:val="left" w:pos="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CG Times" w:eastAsia="Times New Roman" w:hAnsi="CG Times" w:cs="Times New Roman"/>
      <w:snapToGrid w:val="0"/>
      <w:spacing w:val="0"/>
      <w:szCs w:val="20"/>
    </w:rPr>
  </w:style>
  <w:style w:type="character" w:customStyle="1" w:styleId="BodyTextChar">
    <w:name w:val="Body Text Char"/>
    <w:basedOn w:val="DefaultParagraphFont"/>
    <w:link w:val="BodyText"/>
    <w:uiPriority w:val="1"/>
    <w:rsid w:val="00764566"/>
    <w:rPr>
      <w:rFonts w:ascii="CG Times" w:eastAsia="Times New Roman" w:hAnsi="CG Times" w:cs="Times New Roman"/>
      <w:snapToGrid w:val="0"/>
      <w:szCs w:val="20"/>
    </w:rPr>
  </w:style>
  <w:style w:type="character" w:customStyle="1" w:styleId="Heading7Char">
    <w:name w:val="Heading 7 Char"/>
    <w:basedOn w:val="DefaultParagraphFont"/>
    <w:link w:val="Heading7"/>
    <w:uiPriority w:val="9"/>
    <w:semiHidden/>
    <w:rsid w:val="00764566"/>
    <w:rPr>
      <w:rFonts w:asciiTheme="majorHAnsi" w:eastAsiaTheme="majorEastAsia" w:hAnsiTheme="majorHAnsi" w:cstheme="majorBidi"/>
      <w:i/>
      <w:iCs/>
      <w:color w:val="1F3763" w:themeColor="accent1" w:themeShade="7F"/>
      <w:spacing w:val="-6"/>
    </w:rPr>
  </w:style>
  <w:style w:type="character" w:customStyle="1" w:styleId="Heading8Char">
    <w:name w:val="Heading 8 Char"/>
    <w:basedOn w:val="DefaultParagraphFont"/>
    <w:link w:val="Heading8"/>
    <w:uiPriority w:val="9"/>
    <w:semiHidden/>
    <w:rsid w:val="00764566"/>
    <w:rPr>
      <w:rFonts w:asciiTheme="majorHAnsi" w:eastAsiaTheme="majorEastAsia" w:hAnsiTheme="majorHAnsi" w:cstheme="majorBidi"/>
      <w:color w:val="272727" w:themeColor="text1" w:themeTint="D8"/>
      <w:spacing w:val="-6"/>
      <w:sz w:val="21"/>
      <w:szCs w:val="21"/>
    </w:rPr>
  </w:style>
  <w:style w:type="paragraph" w:styleId="Caption">
    <w:name w:val="caption"/>
    <w:basedOn w:val="Normal"/>
    <w:next w:val="Normal"/>
    <w:qFormat/>
    <w:rsid w:val="00764566"/>
    <w:pPr>
      <w:widowControl w:val="0"/>
      <w:tabs>
        <w:tab w:val="center" w:pos="4680"/>
      </w:tabs>
      <w:spacing w:after="0" w:line="240" w:lineRule="auto"/>
      <w:jc w:val="center"/>
    </w:pPr>
    <w:rPr>
      <w:rFonts w:ascii="CG Times" w:eastAsia="Times New Roman" w:hAnsi="CG Times" w:cs="Times New Roman"/>
      <w:b/>
      <w:snapToGrid w:val="0"/>
      <w:spacing w:val="0"/>
      <w:szCs w:val="20"/>
    </w:rPr>
  </w:style>
  <w:style w:type="paragraph" w:customStyle="1" w:styleId="Level11">
    <w:name w:val="Level 11"/>
    <w:basedOn w:val="Normal"/>
    <w:rsid w:val="00764566"/>
    <w:pPr>
      <w:widowControl w:val="0"/>
      <w:spacing w:after="0" w:line="240" w:lineRule="auto"/>
    </w:pPr>
    <w:rPr>
      <w:rFonts w:ascii="Times New Roman" w:eastAsia="Times New Roman" w:hAnsi="Times New Roman" w:cs="Times New Roman"/>
      <w:spacing w:val="0"/>
      <w:szCs w:val="20"/>
    </w:rPr>
  </w:style>
  <w:style w:type="paragraph" w:styleId="BodyText3">
    <w:name w:val="Body Text 3"/>
    <w:basedOn w:val="Normal"/>
    <w:link w:val="BodyText3Char"/>
    <w:rsid w:val="007645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CG Times" w:eastAsia="Times New Roman" w:hAnsi="CG Times" w:cs="Times New Roman"/>
      <w:spacing w:val="0"/>
      <w:szCs w:val="20"/>
    </w:rPr>
  </w:style>
  <w:style w:type="character" w:customStyle="1" w:styleId="BodyText3Char">
    <w:name w:val="Body Text 3 Char"/>
    <w:basedOn w:val="DefaultParagraphFont"/>
    <w:link w:val="BodyText3"/>
    <w:rsid w:val="00764566"/>
    <w:rPr>
      <w:rFonts w:ascii="CG Times" w:eastAsia="Times New Roman" w:hAnsi="CG Times" w:cs="Times New Roman"/>
      <w:szCs w:val="20"/>
    </w:rPr>
  </w:style>
  <w:style w:type="paragraph" w:styleId="BodyTextIndent">
    <w:name w:val="Body Text Indent"/>
    <w:basedOn w:val="Normal"/>
    <w:link w:val="BodyTextIndentChar"/>
    <w:rsid w:val="00764566"/>
    <w:pPr>
      <w:widowControl w:val="0"/>
      <w:tabs>
        <w:tab w:val="left" w:pos="-1440"/>
      </w:tabs>
      <w:spacing w:after="0" w:line="240" w:lineRule="auto"/>
      <w:ind w:left="720"/>
    </w:pPr>
    <w:rPr>
      <w:rFonts w:ascii="CG Times" w:eastAsia="Times New Roman" w:hAnsi="CG Times" w:cs="Times New Roman"/>
      <w:spacing w:val="0"/>
      <w:sz w:val="23"/>
      <w:szCs w:val="20"/>
    </w:rPr>
  </w:style>
  <w:style w:type="character" w:customStyle="1" w:styleId="BodyTextIndentChar">
    <w:name w:val="Body Text Indent Char"/>
    <w:basedOn w:val="DefaultParagraphFont"/>
    <w:link w:val="BodyTextIndent"/>
    <w:rsid w:val="00764566"/>
    <w:rPr>
      <w:rFonts w:ascii="CG Times" w:eastAsia="Times New Roman" w:hAnsi="CG Times" w:cs="Times New Roman"/>
      <w:sz w:val="23"/>
      <w:szCs w:val="20"/>
    </w:rPr>
  </w:style>
  <w:style w:type="character" w:customStyle="1" w:styleId="ui-provider">
    <w:name w:val="ui-provider"/>
    <w:basedOn w:val="DefaultParagraphFont"/>
    <w:rsid w:val="00764566"/>
  </w:style>
  <w:style w:type="paragraph" w:styleId="TOCHeading">
    <w:name w:val="TOC Heading"/>
    <w:basedOn w:val="Heading1"/>
    <w:next w:val="Normal"/>
    <w:uiPriority w:val="39"/>
    <w:unhideWhenUsed/>
    <w:qFormat/>
    <w:rsid w:val="009803D3"/>
    <w:pPr>
      <w:spacing w:before="240" w:after="0" w:line="259" w:lineRule="auto"/>
      <w:outlineLvl w:val="9"/>
    </w:pPr>
    <w:rPr>
      <w:rFonts w:asciiTheme="majorHAnsi" w:hAnsiTheme="majorHAnsi"/>
      <w:b w:val="0"/>
      <w:color w:val="2F5496" w:themeColor="accent1" w:themeShade="BF"/>
      <w:spacing w:val="0"/>
      <w:sz w:val="32"/>
    </w:rPr>
  </w:style>
  <w:style w:type="paragraph" w:styleId="TOC4">
    <w:name w:val="toc 4"/>
    <w:basedOn w:val="Normal"/>
    <w:next w:val="Normal"/>
    <w:autoRedefine/>
    <w:uiPriority w:val="39"/>
    <w:unhideWhenUsed/>
    <w:rsid w:val="009803D3"/>
    <w:pPr>
      <w:spacing w:after="100" w:line="259" w:lineRule="auto"/>
      <w:ind w:left="660"/>
    </w:pPr>
    <w:rPr>
      <w:rFonts w:asciiTheme="minorHAnsi" w:eastAsiaTheme="minorEastAsia" w:hAnsiTheme="minorHAnsi"/>
      <w:spacing w:val="0"/>
      <w:kern w:val="2"/>
      <w14:ligatures w14:val="standardContextual"/>
    </w:rPr>
  </w:style>
  <w:style w:type="paragraph" w:styleId="TOC5">
    <w:name w:val="toc 5"/>
    <w:basedOn w:val="Normal"/>
    <w:next w:val="Normal"/>
    <w:autoRedefine/>
    <w:uiPriority w:val="39"/>
    <w:unhideWhenUsed/>
    <w:rsid w:val="009803D3"/>
    <w:pPr>
      <w:spacing w:after="100" w:line="259" w:lineRule="auto"/>
      <w:ind w:left="880"/>
    </w:pPr>
    <w:rPr>
      <w:rFonts w:asciiTheme="minorHAnsi" w:eastAsiaTheme="minorEastAsia" w:hAnsiTheme="minorHAnsi"/>
      <w:spacing w:val="0"/>
      <w:kern w:val="2"/>
      <w14:ligatures w14:val="standardContextual"/>
    </w:rPr>
  </w:style>
  <w:style w:type="paragraph" w:styleId="TOC6">
    <w:name w:val="toc 6"/>
    <w:basedOn w:val="Normal"/>
    <w:next w:val="Normal"/>
    <w:autoRedefine/>
    <w:uiPriority w:val="39"/>
    <w:unhideWhenUsed/>
    <w:rsid w:val="009803D3"/>
    <w:pPr>
      <w:spacing w:after="100" w:line="259" w:lineRule="auto"/>
      <w:ind w:left="1100"/>
    </w:pPr>
    <w:rPr>
      <w:rFonts w:asciiTheme="minorHAnsi" w:eastAsiaTheme="minorEastAsia" w:hAnsiTheme="minorHAnsi"/>
      <w:spacing w:val="0"/>
      <w:kern w:val="2"/>
      <w14:ligatures w14:val="standardContextual"/>
    </w:rPr>
  </w:style>
  <w:style w:type="paragraph" w:styleId="TOC7">
    <w:name w:val="toc 7"/>
    <w:basedOn w:val="Normal"/>
    <w:next w:val="Normal"/>
    <w:autoRedefine/>
    <w:uiPriority w:val="39"/>
    <w:unhideWhenUsed/>
    <w:rsid w:val="009803D3"/>
    <w:pPr>
      <w:spacing w:after="100" w:line="259" w:lineRule="auto"/>
      <w:ind w:left="1320"/>
    </w:pPr>
    <w:rPr>
      <w:rFonts w:asciiTheme="minorHAnsi" w:eastAsiaTheme="minorEastAsia" w:hAnsiTheme="minorHAnsi"/>
      <w:spacing w:val="0"/>
      <w:kern w:val="2"/>
      <w14:ligatures w14:val="standardContextual"/>
    </w:rPr>
  </w:style>
  <w:style w:type="paragraph" w:styleId="TOC8">
    <w:name w:val="toc 8"/>
    <w:basedOn w:val="Normal"/>
    <w:next w:val="Normal"/>
    <w:autoRedefine/>
    <w:uiPriority w:val="39"/>
    <w:unhideWhenUsed/>
    <w:rsid w:val="009803D3"/>
    <w:pPr>
      <w:spacing w:after="100" w:line="259" w:lineRule="auto"/>
      <w:ind w:left="1540"/>
    </w:pPr>
    <w:rPr>
      <w:rFonts w:asciiTheme="minorHAnsi" w:eastAsiaTheme="minorEastAsia" w:hAnsiTheme="minorHAnsi"/>
      <w:spacing w:val="0"/>
      <w:kern w:val="2"/>
      <w14:ligatures w14:val="standardContextual"/>
    </w:rPr>
  </w:style>
  <w:style w:type="paragraph" w:styleId="TOC9">
    <w:name w:val="toc 9"/>
    <w:basedOn w:val="Normal"/>
    <w:next w:val="Normal"/>
    <w:autoRedefine/>
    <w:uiPriority w:val="39"/>
    <w:unhideWhenUsed/>
    <w:rsid w:val="009803D3"/>
    <w:pPr>
      <w:spacing w:after="100" w:line="259" w:lineRule="auto"/>
      <w:ind w:left="1760"/>
    </w:pPr>
    <w:rPr>
      <w:rFonts w:asciiTheme="minorHAnsi" w:eastAsiaTheme="minorEastAsia" w:hAnsiTheme="minorHAnsi"/>
      <w:spacing w:val="0"/>
      <w:kern w:val="2"/>
      <w14:ligatures w14:val="standardContextual"/>
    </w:rPr>
  </w:style>
  <w:style w:type="paragraph" w:customStyle="1" w:styleId="Heading1Section">
    <w:name w:val="Heading 1: Section"/>
    <w:basedOn w:val="Heading1"/>
    <w:next w:val="Normal"/>
    <w:qFormat/>
    <w:rsid w:val="000715A7"/>
    <w:rPr>
      <w:rFonts w:ascii="Source Sans Pro" w:hAnsi="Source Sans Pro"/>
      <w:color w:val="009ED1"/>
      <w:spacing w:val="-8"/>
    </w:rPr>
  </w:style>
  <w:style w:type="paragraph" w:styleId="EndnoteText">
    <w:name w:val="endnote text"/>
    <w:basedOn w:val="Normal"/>
    <w:link w:val="EndnoteTextChar"/>
    <w:uiPriority w:val="99"/>
    <w:semiHidden/>
    <w:unhideWhenUsed/>
    <w:rsid w:val="000715A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15A7"/>
    <w:rPr>
      <w:rFonts w:ascii="Source Serif Pro" w:hAnsi="Source Serif Pro"/>
      <w:spacing w:val="-6"/>
      <w:sz w:val="20"/>
      <w:szCs w:val="20"/>
    </w:rPr>
  </w:style>
  <w:style w:type="character" w:styleId="EndnoteReference">
    <w:name w:val="endnote reference"/>
    <w:basedOn w:val="DefaultParagraphFont"/>
    <w:uiPriority w:val="99"/>
    <w:semiHidden/>
    <w:unhideWhenUsed/>
    <w:rsid w:val="000715A7"/>
    <w:rPr>
      <w:vertAlign w:val="superscript"/>
    </w:rPr>
  </w:style>
  <w:style w:type="character" w:customStyle="1" w:styleId="normaltextrun">
    <w:name w:val="normaltextrun"/>
    <w:basedOn w:val="DefaultParagraphFont"/>
    <w:rsid w:val="00E4115A"/>
  </w:style>
  <w:style w:type="character" w:customStyle="1" w:styleId="eop">
    <w:name w:val="eop"/>
    <w:basedOn w:val="DefaultParagraphFont"/>
    <w:rsid w:val="00E4115A"/>
  </w:style>
  <w:style w:type="paragraph" w:customStyle="1" w:styleId="paragraph">
    <w:name w:val="paragraph"/>
    <w:basedOn w:val="Normal"/>
    <w:rsid w:val="00EA1EA7"/>
    <w:pPr>
      <w:spacing w:before="100" w:beforeAutospacing="1" w:after="100" w:afterAutospacing="1" w:line="240" w:lineRule="auto"/>
    </w:pPr>
    <w:rPr>
      <w:rFonts w:ascii="Times New Roman" w:eastAsia="Times New Roman" w:hAnsi="Times New Roman" w:cs="Times New Roman"/>
      <w:spacing w:val="0"/>
      <w:sz w:val="24"/>
      <w:szCs w:val="24"/>
    </w:rPr>
  </w:style>
  <w:style w:type="character" w:customStyle="1" w:styleId="Heading6Char">
    <w:name w:val="Heading 6 Char"/>
    <w:basedOn w:val="DefaultParagraphFont"/>
    <w:link w:val="Heading6"/>
    <w:rsid w:val="00960C35"/>
    <w:rPr>
      <w:rFonts w:ascii="Times New Roman" w:eastAsia="Times New Roman" w:hAnsi="Times New Roman" w:cs="Times New Roman"/>
      <w:i/>
      <w:snapToGrid w:val="0"/>
      <w:szCs w:val="20"/>
    </w:rPr>
  </w:style>
  <w:style w:type="character" w:customStyle="1" w:styleId="Heading9Char">
    <w:name w:val="Heading 9 Char"/>
    <w:basedOn w:val="DefaultParagraphFont"/>
    <w:link w:val="Heading9"/>
    <w:rsid w:val="00960C35"/>
    <w:rPr>
      <w:rFonts w:ascii="Arial" w:eastAsia="Times New Roman" w:hAnsi="Arial" w:cs="Times New Roman"/>
      <w:b/>
      <w:i/>
      <w:snapToGrid w:val="0"/>
      <w:sz w:val="18"/>
      <w:szCs w:val="20"/>
    </w:rPr>
  </w:style>
  <w:style w:type="numbering" w:customStyle="1" w:styleId="NoList1">
    <w:name w:val="No List1"/>
    <w:next w:val="NoList"/>
    <w:uiPriority w:val="99"/>
    <w:semiHidden/>
    <w:unhideWhenUsed/>
    <w:rsid w:val="00960C35"/>
  </w:style>
  <w:style w:type="paragraph" w:styleId="DocumentMap">
    <w:name w:val="Document Map"/>
    <w:basedOn w:val="Normal"/>
    <w:link w:val="DocumentMapChar"/>
    <w:rsid w:val="00960C35"/>
    <w:pPr>
      <w:spacing w:after="0" w:line="240" w:lineRule="auto"/>
    </w:pPr>
    <w:rPr>
      <w:rFonts w:ascii="Times New Roman" w:eastAsia="Times New Roman" w:hAnsi="Times New Roman" w:cs="Times New Roman"/>
      <w:color w:val="0000FF"/>
      <w:spacing w:val="0"/>
      <w:sz w:val="16"/>
      <w:szCs w:val="16"/>
    </w:rPr>
  </w:style>
  <w:style w:type="character" w:customStyle="1" w:styleId="DocumentMapChar">
    <w:name w:val="Document Map Char"/>
    <w:basedOn w:val="DefaultParagraphFont"/>
    <w:link w:val="DocumentMap"/>
    <w:rsid w:val="00960C35"/>
    <w:rPr>
      <w:rFonts w:ascii="Times New Roman" w:eastAsia="Times New Roman" w:hAnsi="Times New Roman" w:cs="Times New Roman"/>
      <w:color w:val="0000FF"/>
      <w:sz w:val="16"/>
      <w:szCs w:val="16"/>
    </w:rPr>
  </w:style>
  <w:style w:type="character" w:styleId="PageNumber">
    <w:name w:val="page number"/>
    <w:basedOn w:val="DefaultParagraphFont"/>
    <w:rsid w:val="00960C35"/>
  </w:style>
  <w:style w:type="character" w:customStyle="1" w:styleId="Hypertext">
    <w:name w:val="Hypertext"/>
    <w:rsid w:val="00960C35"/>
    <w:rPr>
      <w:color w:val="0000FF"/>
      <w:u w:val="single"/>
    </w:rPr>
  </w:style>
  <w:style w:type="character" w:customStyle="1" w:styleId="Style">
    <w:name w:val="Style"/>
    <w:rsid w:val="00960C35"/>
  </w:style>
  <w:style w:type="character" w:customStyle="1" w:styleId="Head2">
    <w:name w:val="Head_2"/>
    <w:rsid w:val="00960C35"/>
    <w:rPr>
      <w:b/>
    </w:rPr>
  </w:style>
  <w:style w:type="paragraph" w:customStyle="1" w:styleId="Level1">
    <w:name w:val="Level 1"/>
    <w:basedOn w:val="Normal"/>
    <w:rsid w:val="00960C35"/>
    <w:pPr>
      <w:widowControl w:val="0"/>
      <w:spacing w:after="0" w:line="240" w:lineRule="auto"/>
      <w:ind w:left="484"/>
    </w:pPr>
    <w:rPr>
      <w:rFonts w:ascii="CG Times" w:eastAsia="Times New Roman" w:hAnsi="CG Times" w:cs="Times New Roman"/>
      <w:spacing w:val="0"/>
      <w:sz w:val="24"/>
      <w:szCs w:val="20"/>
    </w:rPr>
  </w:style>
  <w:style w:type="character" w:customStyle="1" w:styleId="Draft">
    <w:name w:val="Draft"/>
    <w:rsid w:val="00960C35"/>
    <w:rPr>
      <w:b/>
      <w:i/>
    </w:rPr>
  </w:style>
  <w:style w:type="character" w:customStyle="1" w:styleId="Bullet">
    <w:name w:val="Bullet"/>
    <w:rsid w:val="00960C35"/>
  </w:style>
  <w:style w:type="character" w:customStyle="1" w:styleId="HTMLMarkup">
    <w:name w:val="HTML Markup"/>
    <w:rsid w:val="00960C35"/>
    <w:rPr>
      <w:vanish/>
      <w:color w:val="FF0000"/>
    </w:rPr>
  </w:style>
  <w:style w:type="paragraph" w:styleId="BodyTextIndent2">
    <w:name w:val="Body Text Indent 2"/>
    <w:basedOn w:val="Normal"/>
    <w:link w:val="BodyTextIndent2Char"/>
    <w:rsid w:val="00960C35"/>
    <w:pPr>
      <w:widowControl w:val="0"/>
      <w:tabs>
        <w:tab w:val="left" w:pos="-720"/>
        <w:tab w:val="left" w:pos="-432"/>
        <w:tab w:val="left" w:pos="-108"/>
        <w:tab w:val="left" w:pos="540"/>
        <w:tab w:val="left" w:pos="864"/>
        <w:tab w:val="left" w:pos="1188"/>
        <w:tab w:val="left" w:pos="1512"/>
        <w:tab w:val="left" w:pos="1836"/>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pPr>
    <w:rPr>
      <w:rFonts w:ascii="CG Times" w:eastAsia="Times New Roman" w:hAnsi="CG Times" w:cs="Times New Roman"/>
      <w:spacing w:val="0"/>
      <w:szCs w:val="20"/>
    </w:rPr>
  </w:style>
  <w:style w:type="character" w:customStyle="1" w:styleId="BodyTextIndent2Char">
    <w:name w:val="Body Text Indent 2 Char"/>
    <w:basedOn w:val="DefaultParagraphFont"/>
    <w:link w:val="BodyTextIndent2"/>
    <w:rsid w:val="00960C35"/>
    <w:rPr>
      <w:rFonts w:ascii="CG Times" w:eastAsia="Times New Roman" w:hAnsi="CG Times" w:cs="Times New Roman"/>
      <w:szCs w:val="20"/>
    </w:rPr>
  </w:style>
  <w:style w:type="paragraph" w:styleId="BodyTextIndent3">
    <w:name w:val="Body Text Indent 3"/>
    <w:basedOn w:val="Normal"/>
    <w:link w:val="BodyTextIndent3Char"/>
    <w:rsid w:val="00960C35"/>
    <w:pPr>
      <w:widowControl w:val="0"/>
      <w:spacing w:after="0" w:line="230" w:lineRule="auto"/>
      <w:ind w:left="720"/>
    </w:pPr>
    <w:rPr>
      <w:rFonts w:ascii="CG Times" w:eastAsia="Times New Roman" w:hAnsi="CG Times" w:cs="Times New Roman"/>
      <w:snapToGrid w:val="0"/>
      <w:spacing w:val="0"/>
      <w:sz w:val="23"/>
      <w:szCs w:val="20"/>
    </w:rPr>
  </w:style>
  <w:style w:type="character" w:customStyle="1" w:styleId="BodyTextIndent3Char">
    <w:name w:val="Body Text Indent 3 Char"/>
    <w:basedOn w:val="DefaultParagraphFont"/>
    <w:link w:val="BodyTextIndent3"/>
    <w:rsid w:val="00960C35"/>
    <w:rPr>
      <w:rFonts w:ascii="CG Times" w:eastAsia="Times New Roman" w:hAnsi="CG Times" w:cs="Times New Roman"/>
      <w:snapToGrid w:val="0"/>
      <w:sz w:val="23"/>
      <w:szCs w:val="20"/>
    </w:rPr>
  </w:style>
  <w:style w:type="paragraph" w:styleId="BodyText2">
    <w:name w:val="Body Text 2"/>
    <w:basedOn w:val="Normal"/>
    <w:link w:val="BodyText2Char"/>
    <w:rsid w:val="00960C35"/>
    <w:pPr>
      <w:widowControl w:val="0"/>
      <w:tabs>
        <w:tab w:val="left" w:pos="-1440"/>
        <w:tab w:val="left" w:pos="-720"/>
        <w:tab w:val="left" w:pos="0"/>
        <w:tab w:val="left" w:pos="175"/>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30" w:lineRule="auto"/>
    </w:pPr>
    <w:rPr>
      <w:rFonts w:ascii="CG Times" w:eastAsia="Times New Roman" w:hAnsi="CG Times" w:cs="Times New Roman"/>
      <w:snapToGrid w:val="0"/>
      <w:spacing w:val="0"/>
      <w:szCs w:val="20"/>
    </w:rPr>
  </w:style>
  <w:style w:type="character" w:customStyle="1" w:styleId="BodyText2Char">
    <w:name w:val="Body Text 2 Char"/>
    <w:basedOn w:val="DefaultParagraphFont"/>
    <w:link w:val="BodyText2"/>
    <w:rsid w:val="00960C35"/>
    <w:rPr>
      <w:rFonts w:ascii="CG Times" w:eastAsia="Times New Roman" w:hAnsi="CG Times" w:cs="Times New Roman"/>
      <w:snapToGrid w:val="0"/>
      <w:szCs w:val="20"/>
    </w:rPr>
  </w:style>
  <w:style w:type="paragraph" w:styleId="Subtitle">
    <w:name w:val="Subtitle"/>
    <w:basedOn w:val="Normal"/>
    <w:link w:val="SubtitleChar"/>
    <w:qFormat/>
    <w:rsid w:val="00960C35"/>
    <w:pPr>
      <w:widowControl w:val="0"/>
      <w:tabs>
        <w:tab w:val="center" w:pos="4680"/>
      </w:tabs>
      <w:spacing w:after="0" w:line="240" w:lineRule="auto"/>
      <w:jc w:val="right"/>
    </w:pPr>
    <w:rPr>
      <w:rFonts w:ascii="CG Times" w:eastAsia="Times New Roman" w:hAnsi="CG Times" w:cs="Times New Roman"/>
      <w:b/>
      <w:snapToGrid w:val="0"/>
      <w:spacing w:val="0"/>
      <w:szCs w:val="20"/>
    </w:rPr>
  </w:style>
  <w:style w:type="character" w:customStyle="1" w:styleId="SubtitleChar">
    <w:name w:val="Subtitle Char"/>
    <w:basedOn w:val="DefaultParagraphFont"/>
    <w:link w:val="Subtitle"/>
    <w:rsid w:val="00960C35"/>
    <w:rPr>
      <w:rFonts w:ascii="CG Times" w:eastAsia="Times New Roman" w:hAnsi="CG Times" w:cs="Times New Roman"/>
      <w:b/>
      <w:snapToGrid w:val="0"/>
      <w:szCs w:val="20"/>
    </w:rPr>
  </w:style>
  <w:style w:type="paragraph" w:styleId="BlockText">
    <w:name w:val="Block Text"/>
    <w:basedOn w:val="Normal"/>
    <w:rsid w:val="00960C35"/>
    <w:pPr>
      <w:widowControl w:val="0"/>
      <w:tabs>
        <w:tab w:val="left" w:pos="-2160"/>
        <w:tab w:val="left" w:pos="-1440"/>
        <w:tab w:val="left" w:pos="-720"/>
        <w:tab w:val="left" w:pos="-545"/>
        <w:tab w:val="left" w:pos="-28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2" w:lineRule="auto"/>
      <w:ind w:left="-720" w:right="-720"/>
    </w:pPr>
    <w:rPr>
      <w:rFonts w:ascii="CG Times" w:eastAsia="Times New Roman" w:hAnsi="CG Times" w:cs="Times New Roman"/>
      <w:snapToGrid w:val="0"/>
      <w:spacing w:val="0"/>
      <w:szCs w:val="20"/>
    </w:rPr>
  </w:style>
  <w:style w:type="paragraph" w:styleId="Index1">
    <w:name w:val="index 1"/>
    <w:basedOn w:val="Normal"/>
    <w:next w:val="Normal"/>
    <w:autoRedefine/>
    <w:semiHidden/>
    <w:rsid w:val="00960C35"/>
    <w:pPr>
      <w:tabs>
        <w:tab w:val="right" w:leader="dot" w:pos="9350"/>
      </w:tabs>
      <w:spacing w:after="0" w:line="240" w:lineRule="auto"/>
      <w:ind w:left="230" w:hanging="230"/>
    </w:pPr>
    <w:rPr>
      <w:rFonts w:ascii="Times New Roman" w:eastAsia="Times New Roman" w:hAnsi="Times New Roman" w:cs="Times New Roman"/>
      <w:noProof/>
      <w:spacing w:val="0"/>
      <w:sz w:val="20"/>
      <w:szCs w:val="20"/>
    </w:rPr>
  </w:style>
  <w:style w:type="paragraph" w:styleId="Index2">
    <w:name w:val="index 2"/>
    <w:basedOn w:val="Normal"/>
    <w:next w:val="Normal"/>
    <w:autoRedefine/>
    <w:semiHidden/>
    <w:rsid w:val="00960C35"/>
    <w:pPr>
      <w:spacing w:after="0" w:line="240" w:lineRule="auto"/>
      <w:ind w:left="460" w:hanging="230"/>
    </w:pPr>
    <w:rPr>
      <w:rFonts w:ascii="Times New Roman" w:eastAsia="Times New Roman" w:hAnsi="Times New Roman" w:cs="Times New Roman"/>
      <w:spacing w:val="0"/>
      <w:sz w:val="20"/>
      <w:szCs w:val="20"/>
    </w:rPr>
  </w:style>
  <w:style w:type="paragraph" w:styleId="IndexHeading">
    <w:name w:val="index heading"/>
    <w:basedOn w:val="Normal"/>
    <w:next w:val="Index1"/>
    <w:semiHidden/>
    <w:rsid w:val="00960C35"/>
    <w:pPr>
      <w:spacing w:before="120" w:after="120" w:line="240" w:lineRule="auto"/>
    </w:pPr>
    <w:rPr>
      <w:rFonts w:ascii="Times New Roman" w:eastAsia="Times New Roman" w:hAnsi="Times New Roman" w:cs="Times New Roman"/>
      <w:b/>
      <w:bCs/>
      <w:i/>
      <w:iCs/>
      <w:spacing w:val="0"/>
      <w:sz w:val="20"/>
      <w:szCs w:val="20"/>
    </w:rPr>
  </w:style>
  <w:style w:type="character" w:customStyle="1" w:styleId="Heading4Char1">
    <w:name w:val="Heading 4 Char1"/>
    <w:aliases w:val="Heading 4 Char Char"/>
    <w:rsid w:val="00960C35"/>
    <w:rPr>
      <w:rFonts w:ascii="CG Times" w:hAnsi="CG Times"/>
      <w:b/>
      <w:snapToGrid w:val="0"/>
      <w:sz w:val="22"/>
      <w:lang w:val="en-US" w:eastAsia="en-US" w:bidi="ar-SA"/>
    </w:rPr>
  </w:style>
  <w:style w:type="table" w:customStyle="1" w:styleId="TableGrid1">
    <w:name w:val="Table Grid1"/>
    <w:basedOn w:val="TableNormal"/>
    <w:next w:val="TableGrid"/>
    <w:uiPriority w:val="59"/>
    <w:rsid w:val="00960C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60C35"/>
    <w:pPr>
      <w:spacing w:after="0" w:line="240" w:lineRule="auto"/>
    </w:pPr>
    <w:rPr>
      <w:rFonts w:ascii="Calibri" w:eastAsia="Calibri" w:hAnsi="Calibri" w:cs="Times New Roman"/>
    </w:rPr>
  </w:style>
  <w:style w:type="character" w:customStyle="1" w:styleId="heading20">
    <w:name w:val="heading2"/>
    <w:rsid w:val="00960C35"/>
    <w:rPr>
      <w:b/>
      <w:bCs/>
    </w:rPr>
  </w:style>
  <w:style w:type="paragraph" w:styleId="NormalWeb">
    <w:name w:val="Normal (Web)"/>
    <w:basedOn w:val="Normal"/>
    <w:uiPriority w:val="99"/>
    <w:semiHidden/>
    <w:unhideWhenUsed/>
    <w:rsid w:val="00960C35"/>
    <w:pPr>
      <w:spacing w:before="100" w:beforeAutospacing="1" w:after="100" w:afterAutospacing="1" w:line="240" w:lineRule="auto"/>
    </w:pPr>
    <w:rPr>
      <w:rFonts w:ascii="Times New Roman" w:eastAsia="Times New Roman" w:hAnsi="Times New Roman" w:cs="Times New Roman"/>
      <w:spacing w:val="0"/>
      <w:sz w:val="24"/>
      <w:szCs w:val="24"/>
    </w:rPr>
  </w:style>
  <w:style w:type="table" w:customStyle="1" w:styleId="TableGrid11">
    <w:name w:val="Table Grid11"/>
    <w:basedOn w:val="TableNormal"/>
    <w:next w:val="TableGrid"/>
    <w:uiPriority w:val="59"/>
    <w:rsid w:val="00960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960C35"/>
  </w:style>
  <w:style w:type="character" w:customStyle="1" w:styleId="ListParagraphChar">
    <w:name w:val="List Paragraph Char"/>
    <w:link w:val="ListParagraph"/>
    <w:uiPriority w:val="34"/>
    <w:rsid w:val="00960C35"/>
    <w:rPr>
      <w:rFonts w:ascii="Source Serif Pro" w:hAnsi="Source Serif Pro"/>
      <w:spacing w:val="-6"/>
    </w:rPr>
  </w:style>
  <w:style w:type="character" w:customStyle="1" w:styleId="wacimagecontainer">
    <w:name w:val="wacimagecontainer"/>
    <w:basedOn w:val="DefaultParagraphFont"/>
    <w:rsid w:val="00960C35"/>
  </w:style>
  <w:style w:type="paragraph" w:customStyle="1" w:styleId="Default">
    <w:name w:val="Default"/>
    <w:rsid w:val="000E7CC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980692">
      <w:bodyDiv w:val="1"/>
      <w:marLeft w:val="0"/>
      <w:marRight w:val="0"/>
      <w:marTop w:val="0"/>
      <w:marBottom w:val="0"/>
      <w:divBdr>
        <w:top w:val="none" w:sz="0" w:space="0" w:color="auto"/>
        <w:left w:val="none" w:sz="0" w:space="0" w:color="auto"/>
        <w:bottom w:val="none" w:sz="0" w:space="0" w:color="auto"/>
        <w:right w:val="none" w:sz="0" w:space="0" w:color="auto"/>
      </w:divBdr>
    </w:div>
    <w:div w:id="759107278">
      <w:bodyDiv w:val="1"/>
      <w:marLeft w:val="0"/>
      <w:marRight w:val="0"/>
      <w:marTop w:val="0"/>
      <w:marBottom w:val="0"/>
      <w:divBdr>
        <w:top w:val="none" w:sz="0" w:space="0" w:color="auto"/>
        <w:left w:val="none" w:sz="0" w:space="0" w:color="auto"/>
        <w:bottom w:val="none" w:sz="0" w:space="0" w:color="auto"/>
        <w:right w:val="none" w:sz="0" w:space="0" w:color="auto"/>
      </w:divBdr>
      <w:divsChild>
        <w:div w:id="92407653">
          <w:marLeft w:val="0"/>
          <w:marRight w:val="0"/>
          <w:marTop w:val="0"/>
          <w:marBottom w:val="0"/>
          <w:divBdr>
            <w:top w:val="none" w:sz="0" w:space="0" w:color="auto"/>
            <w:left w:val="none" w:sz="0" w:space="0" w:color="auto"/>
            <w:bottom w:val="none" w:sz="0" w:space="0" w:color="auto"/>
            <w:right w:val="none" w:sz="0" w:space="0" w:color="auto"/>
          </w:divBdr>
        </w:div>
        <w:div w:id="1786077217">
          <w:marLeft w:val="0"/>
          <w:marRight w:val="0"/>
          <w:marTop w:val="0"/>
          <w:marBottom w:val="0"/>
          <w:divBdr>
            <w:top w:val="none" w:sz="0" w:space="0" w:color="auto"/>
            <w:left w:val="none" w:sz="0" w:space="0" w:color="auto"/>
            <w:bottom w:val="none" w:sz="0" w:space="0" w:color="auto"/>
            <w:right w:val="none" w:sz="0" w:space="0" w:color="auto"/>
          </w:divBdr>
        </w:div>
      </w:divsChild>
    </w:div>
    <w:div w:id="875192929">
      <w:bodyDiv w:val="1"/>
      <w:marLeft w:val="0"/>
      <w:marRight w:val="0"/>
      <w:marTop w:val="0"/>
      <w:marBottom w:val="0"/>
      <w:divBdr>
        <w:top w:val="none" w:sz="0" w:space="0" w:color="auto"/>
        <w:left w:val="none" w:sz="0" w:space="0" w:color="auto"/>
        <w:bottom w:val="none" w:sz="0" w:space="0" w:color="auto"/>
        <w:right w:val="none" w:sz="0" w:space="0" w:color="auto"/>
      </w:divBdr>
      <w:divsChild>
        <w:div w:id="190728546">
          <w:marLeft w:val="0"/>
          <w:marRight w:val="0"/>
          <w:marTop w:val="0"/>
          <w:marBottom w:val="0"/>
          <w:divBdr>
            <w:top w:val="none" w:sz="0" w:space="0" w:color="auto"/>
            <w:left w:val="none" w:sz="0" w:space="0" w:color="auto"/>
            <w:bottom w:val="none" w:sz="0" w:space="0" w:color="auto"/>
            <w:right w:val="none" w:sz="0" w:space="0" w:color="auto"/>
          </w:divBdr>
          <w:divsChild>
            <w:div w:id="566064453">
              <w:marLeft w:val="0"/>
              <w:marRight w:val="0"/>
              <w:marTop w:val="0"/>
              <w:marBottom w:val="0"/>
              <w:divBdr>
                <w:top w:val="none" w:sz="0" w:space="0" w:color="auto"/>
                <w:left w:val="none" w:sz="0" w:space="0" w:color="auto"/>
                <w:bottom w:val="none" w:sz="0" w:space="0" w:color="auto"/>
                <w:right w:val="none" w:sz="0" w:space="0" w:color="auto"/>
              </w:divBdr>
            </w:div>
          </w:divsChild>
        </w:div>
        <w:div w:id="328679167">
          <w:marLeft w:val="0"/>
          <w:marRight w:val="0"/>
          <w:marTop w:val="0"/>
          <w:marBottom w:val="0"/>
          <w:divBdr>
            <w:top w:val="none" w:sz="0" w:space="0" w:color="auto"/>
            <w:left w:val="none" w:sz="0" w:space="0" w:color="auto"/>
            <w:bottom w:val="none" w:sz="0" w:space="0" w:color="auto"/>
            <w:right w:val="none" w:sz="0" w:space="0" w:color="auto"/>
          </w:divBdr>
          <w:divsChild>
            <w:div w:id="384835967">
              <w:marLeft w:val="0"/>
              <w:marRight w:val="0"/>
              <w:marTop w:val="0"/>
              <w:marBottom w:val="0"/>
              <w:divBdr>
                <w:top w:val="none" w:sz="0" w:space="0" w:color="auto"/>
                <w:left w:val="none" w:sz="0" w:space="0" w:color="auto"/>
                <w:bottom w:val="none" w:sz="0" w:space="0" w:color="auto"/>
                <w:right w:val="none" w:sz="0" w:space="0" w:color="auto"/>
              </w:divBdr>
            </w:div>
            <w:div w:id="452793616">
              <w:marLeft w:val="0"/>
              <w:marRight w:val="0"/>
              <w:marTop w:val="0"/>
              <w:marBottom w:val="0"/>
              <w:divBdr>
                <w:top w:val="none" w:sz="0" w:space="0" w:color="auto"/>
                <w:left w:val="none" w:sz="0" w:space="0" w:color="auto"/>
                <w:bottom w:val="none" w:sz="0" w:space="0" w:color="auto"/>
                <w:right w:val="none" w:sz="0" w:space="0" w:color="auto"/>
              </w:divBdr>
            </w:div>
            <w:div w:id="526719936">
              <w:marLeft w:val="0"/>
              <w:marRight w:val="0"/>
              <w:marTop w:val="0"/>
              <w:marBottom w:val="0"/>
              <w:divBdr>
                <w:top w:val="none" w:sz="0" w:space="0" w:color="auto"/>
                <w:left w:val="none" w:sz="0" w:space="0" w:color="auto"/>
                <w:bottom w:val="none" w:sz="0" w:space="0" w:color="auto"/>
                <w:right w:val="none" w:sz="0" w:space="0" w:color="auto"/>
              </w:divBdr>
            </w:div>
          </w:divsChild>
        </w:div>
        <w:div w:id="479463432">
          <w:marLeft w:val="0"/>
          <w:marRight w:val="0"/>
          <w:marTop w:val="0"/>
          <w:marBottom w:val="0"/>
          <w:divBdr>
            <w:top w:val="none" w:sz="0" w:space="0" w:color="auto"/>
            <w:left w:val="none" w:sz="0" w:space="0" w:color="auto"/>
            <w:bottom w:val="none" w:sz="0" w:space="0" w:color="auto"/>
            <w:right w:val="none" w:sz="0" w:space="0" w:color="auto"/>
          </w:divBdr>
          <w:divsChild>
            <w:div w:id="285893850">
              <w:marLeft w:val="0"/>
              <w:marRight w:val="0"/>
              <w:marTop w:val="0"/>
              <w:marBottom w:val="0"/>
              <w:divBdr>
                <w:top w:val="none" w:sz="0" w:space="0" w:color="auto"/>
                <w:left w:val="none" w:sz="0" w:space="0" w:color="auto"/>
                <w:bottom w:val="none" w:sz="0" w:space="0" w:color="auto"/>
                <w:right w:val="none" w:sz="0" w:space="0" w:color="auto"/>
              </w:divBdr>
            </w:div>
          </w:divsChild>
        </w:div>
        <w:div w:id="483281362">
          <w:marLeft w:val="0"/>
          <w:marRight w:val="0"/>
          <w:marTop w:val="0"/>
          <w:marBottom w:val="0"/>
          <w:divBdr>
            <w:top w:val="none" w:sz="0" w:space="0" w:color="auto"/>
            <w:left w:val="none" w:sz="0" w:space="0" w:color="auto"/>
            <w:bottom w:val="none" w:sz="0" w:space="0" w:color="auto"/>
            <w:right w:val="none" w:sz="0" w:space="0" w:color="auto"/>
          </w:divBdr>
          <w:divsChild>
            <w:div w:id="811288008">
              <w:marLeft w:val="0"/>
              <w:marRight w:val="0"/>
              <w:marTop w:val="0"/>
              <w:marBottom w:val="0"/>
              <w:divBdr>
                <w:top w:val="none" w:sz="0" w:space="0" w:color="auto"/>
                <w:left w:val="none" w:sz="0" w:space="0" w:color="auto"/>
                <w:bottom w:val="none" w:sz="0" w:space="0" w:color="auto"/>
                <w:right w:val="none" w:sz="0" w:space="0" w:color="auto"/>
              </w:divBdr>
            </w:div>
          </w:divsChild>
        </w:div>
        <w:div w:id="676079716">
          <w:marLeft w:val="0"/>
          <w:marRight w:val="0"/>
          <w:marTop w:val="0"/>
          <w:marBottom w:val="0"/>
          <w:divBdr>
            <w:top w:val="none" w:sz="0" w:space="0" w:color="auto"/>
            <w:left w:val="none" w:sz="0" w:space="0" w:color="auto"/>
            <w:bottom w:val="none" w:sz="0" w:space="0" w:color="auto"/>
            <w:right w:val="none" w:sz="0" w:space="0" w:color="auto"/>
          </w:divBdr>
          <w:divsChild>
            <w:div w:id="1718553328">
              <w:marLeft w:val="0"/>
              <w:marRight w:val="0"/>
              <w:marTop w:val="0"/>
              <w:marBottom w:val="0"/>
              <w:divBdr>
                <w:top w:val="none" w:sz="0" w:space="0" w:color="auto"/>
                <w:left w:val="none" w:sz="0" w:space="0" w:color="auto"/>
                <w:bottom w:val="none" w:sz="0" w:space="0" w:color="auto"/>
                <w:right w:val="none" w:sz="0" w:space="0" w:color="auto"/>
              </w:divBdr>
            </w:div>
          </w:divsChild>
        </w:div>
        <w:div w:id="777796207">
          <w:marLeft w:val="0"/>
          <w:marRight w:val="0"/>
          <w:marTop w:val="0"/>
          <w:marBottom w:val="0"/>
          <w:divBdr>
            <w:top w:val="none" w:sz="0" w:space="0" w:color="auto"/>
            <w:left w:val="none" w:sz="0" w:space="0" w:color="auto"/>
            <w:bottom w:val="none" w:sz="0" w:space="0" w:color="auto"/>
            <w:right w:val="none" w:sz="0" w:space="0" w:color="auto"/>
          </w:divBdr>
          <w:divsChild>
            <w:div w:id="1095976339">
              <w:marLeft w:val="0"/>
              <w:marRight w:val="0"/>
              <w:marTop w:val="0"/>
              <w:marBottom w:val="0"/>
              <w:divBdr>
                <w:top w:val="none" w:sz="0" w:space="0" w:color="auto"/>
                <w:left w:val="none" w:sz="0" w:space="0" w:color="auto"/>
                <w:bottom w:val="none" w:sz="0" w:space="0" w:color="auto"/>
                <w:right w:val="none" w:sz="0" w:space="0" w:color="auto"/>
              </w:divBdr>
            </w:div>
          </w:divsChild>
        </w:div>
        <w:div w:id="859853993">
          <w:marLeft w:val="0"/>
          <w:marRight w:val="0"/>
          <w:marTop w:val="0"/>
          <w:marBottom w:val="0"/>
          <w:divBdr>
            <w:top w:val="none" w:sz="0" w:space="0" w:color="auto"/>
            <w:left w:val="none" w:sz="0" w:space="0" w:color="auto"/>
            <w:bottom w:val="none" w:sz="0" w:space="0" w:color="auto"/>
            <w:right w:val="none" w:sz="0" w:space="0" w:color="auto"/>
          </w:divBdr>
          <w:divsChild>
            <w:div w:id="540174024">
              <w:marLeft w:val="0"/>
              <w:marRight w:val="0"/>
              <w:marTop w:val="0"/>
              <w:marBottom w:val="0"/>
              <w:divBdr>
                <w:top w:val="none" w:sz="0" w:space="0" w:color="auto"/>
                <w:left w:val="none" w:sz="0" w:space="0" w:color="auto"/>
                <w:bottom w:val="none" w:sz="0" w:space="0" w:color="auto"/>
                <w:right w:val="none" w:sz="0" w:space="0" w:color="auto"/>
              </w:divBdr>
            </w:div>
            <w:div w:id="968123502">
              <w:marLeft w:val="0"/>
              <w:marRight w:val="0"/>
              <w:marTop w:val="0"/>
              <w:marBottom w:val="0"/>
              <w:divBdr>
                <w:top w:val="none" w:sz="0" w:space="0" w:color="auto"/>
                <w:left w:val="none" w:sz="0" w:space="0" w:color="auto"/>
                <w:bottom w:val="none" w:sz="0" w:space="0" w:color="auto"/>
                <w:right w:val="none" w:sz="0" w:space="0" w:color="auto"/>
              </w:divBdr>
            </w:div>
            <w:div w:id="1425029482">
              <w:marLeft w:val="0"/>
              <w:marRight w:val="0"/>
              <w:marTop w:val="0"/>
              <w:marBottom w:val="0"/>
              <w:divBdr>
                <w:top w:val="none" w:sz="0" w:space="0" w:color="auto"/>
                <w:left w:val="none" w:sz="0" w:space="0" w:color="auto"/>
                <w:bottom w:val="none" w:sz="0" w:space="0" w:color="auto"/>
                <w:right w:val="none" w:sz="0" w:space="0" w:color="auto"/>
              </w:divBdr>
            </w:div>
            <w:div w:id="1491100027">
              <w:marLeft w:val="0"/>
              <w:marRight w:val="0"/>
              <w:marTop w:val="0"/>
              <w:marBottom w:val="0"/>
              <w:divBdr>
                <w:top w:val="none" w:sz="0" w:space="0" w:color="auto"/>
                <w:left w:val="none" w:sz="0" w:space="0" w:color="auto"/>
                <w:bottom w:val="none" w:sz="0" w:space="0" w:color="auto"/>
                <w:right w:val="none" w:sz="0" w:space="0" w:color="auto"/>
              </w:divBdr>
            </w:div>
            <w:div w:id="1909994183">
              <w:marLeft w:val="0"/>
              <w:marRight w:val="0"/>
              <w:marTop w:val="0"/>
              <w:marBottom w:val="0"/>
              <w:divBdr>
                <w:top w:val="none" w:sz="0" w:space="0" w:color="auto"/>
                <w:left w:val="none" w:sz="0" w:space="0" w:color="auto"/>
                <w:bottom w:val="none" w:sz="0" w:space="0" w:color="auto"/>
                <w:right w:val="none" w:sz="0" w:space="0" w:color="auto"/>
              </w:divBdr>
            </w:div>
          </w:divsChild>
        </w:div>
        <w:div w:id="922224825">
          <w:marLeft w:val="0"/>
          <w:marRight w:val="0"/>
          <w:marTop w:val="0"/>
          <w:marBottom w:val="0"/>
          <w:divBdr>
            <w:top w:val="none" w:sz="0" w:space="0" w:color="auto"/>
            <w:left w:val="none" w:sz="0" w:space="0" w:color="auto"/>
            <w:bottom w:val="none" w:sz="0" w:space="0" w:color="auto"/>
            <w:right w:val="none" w:sz="0" w:space="0" w:color="auto"/>
          </w:divBdr>
          <w:divsChild>
            <w:div w:id="1602953740">
              <w:marLeft w:val="0"/>
              <w:marRight w:val="0"/>
              <w:marTop w:val="0"/>
              <w:marBottom w:val="0"/>
              <w:divBdr>
                <w:top w:val="none" w:sz="0" w:space="0" w:color="auto"/>
                <w:left w:val="none" w:sz="0" w:space="0" w:color="auto"/>
                <w:bottom w:val="none" w:sz="0" w:space="0" w:color="auto"/>
                <w:right w:val="none" w:sz="0" w:space="0" w:color="auto"/>
              </w:divBdr>
            </w:div>
          </w:divsChild>
        </w:div>
        <w:div w:id="1081220403">
          <w:marLeft w:val="0"/>
          <w:marRight w:val="0"/>
          <w:marTop w:val="0"/>
          <w:marBottom w:val="0"/>
          <w:divBdr>
            <w:top w:val="none" w:sz="0" w:space="0" w:color="auto"/>
            <w:left w:val="none" w:sz="0" w:space="0" w:color="auto"/>
            <w:bottom w:val="none" w:sz="0" w:space="0" w:color="auto"/>
            <w:right w:val="none" w:sz="0" w:space="0" w:color="auto"/>
          </w:divBdr>
          <w:divsChild>
            <w:div w:id="25713595">
              <w:marLeft w:val="0"/>
              <w:marRight w:val="0"/>
              <w:marTop w:val="0"/>
              <w:marBottom w:val="0"/>
              <w:divBdr>
                <w:top w:val="none" w:sz="0" w:space="0" w:color="auto"/>
                <w:left w:val="none" w:sz="0" w:space="0" w:color="auto"/>
                <w:bottom w:val="none" w:sz="0" w:space="0" w:color="auto"/>
                <w:right w:val="none" w:sz="0" w:space="0" w:color="auto"/>
              </w:divBdr>
            </w:div>
            <w:div w:id="694497618">
              <w:marLeft w:val="0"/>
              <w:marRight w:val="0"/>
              <w:marTop w:val="0"/>
              <w:marBottom w:val="0"/>
              <w:divBdr>
                <w:top w:val="none" w:sz="0" w:space="0" w:color="auto"/>
                <w:left w:val="none" w:sz="0" w:space="0" w:color="auto"/>
                <w:bottom w:val="none" w:sz="0" w:space="0" w:color="auto"/>
                <w:right w:val="none" w:sz="0" w:space="0" w:color="auto"/>
              </w:divBdr>
            </w:div>
            <w:div w:id="1215656104">
              <w:marLeft w:val="0"/>
              <w:marRight w:val="0"/>
              <w:marTop w:val="0"/>
              <w:marBottom w:val="0"/>
              <w:divBdr>
                <w:top w:val="none" w:sz="0" w:space="0" w:color="auto"/>
                <w:left w:val="none" w:sz="0" w:space="0" w:color="auto"/>
                <w:bottom w:val="none" w:sz="0" w:space="0" w:color="auto"/>
                <w:right w:val="none" w:sz="0" w:space="0" w:color="auto"/>
              </w:divBdr>
            </w:div>
          </w:divsChild>
        </w:div>
        <w:div w:id="1092894302">
          <w:marLeft w:val="0"/>
          <w:marRight w:val="0"/>
          <w:marTop w:val="0"/>
          <w:marBottom w:val="0"/>
          <w:divBdr>
            <w:top w:val="none" w:sz="0" w:space="0" w:color="auto"/>
            <w:left w:val="none" w:sz="0" w:space="0" w:color="auto"/>
            <w:bottom w:val="none" w:sz="0" w:space="0" w:color="auto"/>
            <w:right w:val="none" w:sz="0" w:space="0" w:color="auto"/>
          </w:divBdr>
          <w:divsChild>
            <w:div w:id="388649871">
              <w:marLeft w:val="0"/>
              <w:marRight w:val="0"/>
              <w:marTop w:val="0"/>
              <w:marBottom w:val="0"/>
              <w:divBdr>
                <w:top w:val="none" w:sz="0" w:space="0" w:color="auto"/>
                <w:left w:val="none" w:sz="0" w:space="0" w:color="auto"/>
                <w:bottom w:val="none" w:sz="0" w:space="0" w:color="auto"/>
                <w:right w:val="none" w:sz="0" w:space="0" w:color="auto"/>
              </w:divBdr>
            </w:div>
          </w:divsChild>
        </w:div>
        <w:div w:id="1193610741">
          <w:marLeft w:val="0"/>
          <w:marRight w:val="0"/>
          <w:marTop w:val="0"/>
          <w:marBottom w:val="0"/>
          <w:divBdr>
            <w:top w:val="none" w:sz="0" w:space="0" w:color="auto"/>
            <w:left w:val="none" w:sz="0" w:space="0" w:color="auto"/>
            <w:bottom w:val="none" w:sz="0" w:space="0" w:color="auto"/>
            <w:right w:val="none" w:sz="0" w:space="0" w:color="auto"/>
          </w:divBdr>
          <w:divsChild>
            <w:div w:id="1430928163">
              <w:marLeft w:val="0"/>
              <w:marRight w:val="0"/>
              <w:marTop w:val="0"/>
              <w:marBottom w:val="0"/>
              <w:divBdr>
                <w:top w:val="none" w:sz="0" w:space="0" w:color="auto"/>
                <w:left w:val="none" w:sz="0" w:space="0" w:color="auto"/>
                <w:bottom w:val="none" w:sz="0" w:space="0" w:color="auto"/>
                <w:right w:val="none" w:sz="0" w:space="0" w:color="auto"/>
              </w:divBdr>
            </w:div>
          </w:divsChild>
        </w:div>
        <w:div w:id="1264536880">
          <w:marLeft w:val="0"/>
          <w:marRight w:val="0"/>
          <w:marTop w:val="0"/>
          <w:marBottom w:val="0"/>
          <w:divBdr>
            <w:top w:val="none" w:sz="0" w:space="0" w:color="auto"/>
            <w:left w:val="none" w:sz="0" w:space="0" w:color="auto"/>
            <w:bottom w:val="none" w:sz="0" w:space="0" w:color="auto"/>
            <w:right w:val="none" w:sz="0" w:space="0" w:color="auto"/>
          </w:divBdr>
          <w:divsChild>
            <w:div w:id="1519999071">
              <w:marLeft w:val="0"/>
              <w:marRight w:val="0"/>
              <w:marTop w:val="0"/>
              <w:marBottom w:val="0"/>
              <w:divBdr>
                <w:top w:val="none" w:sz="0" w:space="0" w:color="auto"/>
                <w:left w:val="none" w:sz="0" w:space="0" w:color="auto"/>
                <w:bottom w:val="none" w:sz="0" w:space="0" w:color="auto"/>
                <w:right w:val="none" w:sz="0" w:space="0" w:color="auto"/>
              </w:divBdr>
            </w:div>
          </w:divsChild>
        </w:div>
        <w:div w:id="1289700139">
          <w:marLeft w:val="0"/>
          <w:marRight w:val="0"/>
          <w:marTop w:val="0"/>
          <w:marBottom w:val="0"/>
          <w:divBdr>
            <w:top w:val="none" w:sz="0" w:space="0" w:color="auto"/>
            <w:left w:val="none" w:sz="0" w:space="0" w:color="auto"/>
            <w:bottom w:val="none" w:sz="0" w:space="0" w:color="auto"/>
            <w:right w:val="none" w:sz="0" w:space="0" w:color="auto"/>
          </w:divBdr>
          <w:divsChild>
            <w:div w:id="875703801">
              <w:marLeft w:val="0"/>
              <w:marRight w:val="0"/>
              <w:marTop w:val="0"/>
              <w:marBottom w:val="0"/>
              <w:divBdr>
                <w:top w:val="none" w:sz="0" w:space="0" w:color="auto"/>
                <w:left w:val="none" w:sz="0" w:space="0" w:color="auto"/>
                <w:bottom w:val="none" w:sz="0" w:space="0" w:color="auto"/>
                <w:right w:val="none" w:sz="0" w:space="0" w:color="auto"/>
              </w:divBdr>
            </w:div>
          </w:divsChild>
        </w:div>
        <w:div w:id="1363941543">
          <w:marLeft w:val="0"/>
          <w:marRight w:val="0"/>
          <w:marTop w:val="0"/>
          <w:marBottom w:val="0"/>
          <w:divBdr>
            <w:top w:val="none" w:sz="0" w:space="0" w:color="auto"/>
            <w:left w:val="none" w:sz="0" w:space="0" w:color="auto"/>
            <w:bottom w:val="none" w:sz="0" w:space="0" w:color="auto"/>
            <w:right w:val="none" w:sz="0" w:space="0" w:color="auto"/>
          </w:divBdr>
          <w:divsChild>
            <w:div w:id="1669941185">
              <w:marLeft w:val="0"/>
              <w:marRight w:val="0"/>
              <w:marTop w:val="0"/>
              <w:marBottom w:val="0"/>
              <w:divBdr>
                <w:top w:val="none" w:sz="0" w:space="0" w:color="auto"/>
                <w:left w:val="none" w:sz="0" w:space="0" w:color="auto"/>
                <w:bottom w:val="none" w:sz="0" w:space="0" w:color="auto"/>
                <w:right w:val="none" w:sz="0" w:space="0" w:color="auto"/>
              </w:divBdr>
            </w:div>
          </w:divsChild>
        </w:div>
        <w:div w:id="1383754857">
          <w:marLeft w:val="0"/>
          <w:marRight w:val="0"/>
          <w:marTop w:val="0"/>
          <w:marBottom w:val="0"/>
          <w:divBdr>
            <w:top w:val="none" w:sz="0" w:space="0" w:color="auto"/>
            <w:left w:val="none" w:sz="0" w:space="0" w:color="auto"/>
            <w:bottom w:val="none" w:sz="0" w:space="0" w:color="auto"/>
            <w:right w:val="none" w:sz="0" w:space="0" w:color="auto"/>
          </w:divBdr>
          <w:divsChild>
            <w:div w:id="403767298">
              <w:marLeft w:val="0"/>
              <w:marRight w:val="0"/>
              <w:marTop w:val="0"/>
              <w:marBottom w:val="0"/>
              <w:divBdr>
                <w:top w:val="none" w:sz="0" w:space="0" w:color="auto"/>
                <w:left w:val="none" w:sz="0" w:space="0" w:color="auto"/>
                <w:bottom w:val="none" w:sz="0" w:space="0" w:color="auto"/>
                <w:right w:val="none" w:sz="0" w:space="0" w:color="auto"/>
              </w:divBdr>
            </w:div>
          </w:divsChild>
        </w:div>
        <w:div w:id="1435326991">
          <w:marLeft w:val="0"/>
          <w:marRight w:val="0"/>
          <w:marTop w:val="0"/>
          <w:marBottom w:val="0"/>
          <w:divBdr>
            <w:top w:val="none" w:sz="0" w:space="0" w:color="auto"/>
            <w:left w:val="none" w:sz="0" w:space="0" w:color="auto"/>
            <w:bottom w:val="none" w:sz="0" w:space="0" w:color="auto"/>
            <w:right w:val="none" w:sz="0" w:space="0" w:color="auto"/>
          </w:divBdr>
          <w:divsChild>
            <w:div w:id="1847208398">
              <w:marLeft w:val="0"/>
              <w:marRight w:val="0"/>
              <w:marTop w:val="0"/>
              <w:marBottom w:val="0"/>
              <w:divBdr>
                <w:top w:val="none" w:sz="0" w:space="0" w:color="auto"/>
                <w:left w:val="none" w:sz="0" w:space="0" w:color="auto"/>
                <w:bottom w:val="none" w:sz="0" w:space="0" w:color="auto"/>
                <w:right w:val="none" w:sz="0" w:space="0" w:color="auto"/>
              </w:divBdr>
            </w:div>
          </w:divsChild>
        </w:div>
        <w:div w:id="1489512480">
          <w:marLeft w:val="0"/>
          <w:marRight w:val="0"/>
          <w:marTop w:val="0"/>
          <w:marBottom w:val="0"/>
          <w:divBdr>
            <w:top w:val="none" w:sz="0" w:space="0" w:color="auto"/>
            <w:left w:val="none" w:sz="0" w:space="0" w:color="auto"/>
            <w:bottom w:val="none" w:sz="0" w:space="0" w:color="auto"/>
            <w:right w:val="none" w:sz="0" w:space="0" w:color="auto"/>
          </w:divBdr>
          <w:divsChild>
            <w:div w:id="1123501206">
              <w:marLeft w:val="0"/>
              <w:marRight w:val="0"/>
              <w:marTop w:val="0"/>
              <w:marBottom w:val="0"/>
              <w:divBdr>
                <w:top w:val="none" w:sz="0" w:space="0" w:color="auto"/>
                <w:left w:val="none" w:sz="0" w:space="0" w:color="auto"/>
                <w:bottom w:val="none" w:sz="0" w:space="0" w:color="auto"/>
                <w:right w:val="none" w:sz="0" w:space="0" w:color="auto"/>
              </w:divBdr>
            </w:div>
          </w:divsChild>
        </w:div>
        <w:div w:id="1699155881">
          <w:marLeft w:val="0"/>
          <w:marRight w:val="0"/>
          <w:marTop w:val="0"/>
          <w:marBottom w:val="0"/>
          <w:divBdr>
            <w:top w:val="none" w:sz="0" w:space="0" w:color="auto"/>
            <w:left w:val="none" w:sz="0" w:space="0" w:color="auto"/>
            <w:bottom w:val="none" w:sz="0" w:space="0" w:color="auto"/>
            <w:right w:val="none" w:sz="0" w:space="0" w:color="auto"/>
          </w:divBdr>
          <w:divsChild>
            <w:div w:id="1279946118">
              <w:marLeft w:val="0"/>
              <w:marRight w:val="0"/>
              <w:marTop w:val="0"/>
              <w:marBottom w:val="0"/>
              <w:divBdr>
                <w:top w:val="none" w:sz="0" w:space="0" w:color="auto"/>
                <w:left w:val="none" w:sz="0" w:space="0" w:color="auto"/>
                <w:bottom w:val="none" w:sz="0" w:space="0" w:color="auto"/>
                <w:right w:val="none" w:sz="0" w:space="0" w:color="auto"/>
              </w:divBdr>
            </w:div>
          </w:divsChild>
        </w:div>
        <w:div w:id="1874221773">
          <w:marLeft w:val="0"/>
          <w:marRight w:val="0"/>
          <w:marTop w:val="0"/>
          <w:marBottom w:val="0"/>
          <w:divBdr>
            <w:top w:val="none" w:sz="0" w:space="0" w:color="auto"/>
            <w:left w:val="none" w:sz="0" w:space="0" w:color="auto"/>
            <w:bottom w:val="none" w:sz="0" w:space="0" w:color="auto"/>
            <w:right w:val="none" w:sz="0" w:space="0" w:color="auto"/>
          </w:divBdr>
          <w:divsChild>
            <w:div w:id="1221669204">
              <w:marLeft w:val="0"/>
              <w:marRight w:val="0"/>
              <w:marTop w:val="0"/>
              <w:marBottom w:val="0"/>
              <w:divBdr>
                <w:top w:val="none" w:sz="0" w:space="0" w:color="auto"/>
                <w:left w:val="none" w:sz="0" w:space="0" w:color="auto"/>
                <w:bottom w:val="none" w:sz="0" w:space="0" w:color="auto"/>
                <w:right w:val="none" w:sz="0" w:space="0" w:color="auto"/>
              </w:divBdr>
            </w:div>
          </w:divsChild>
        </w:div>
        <w:div w:id="1999724545">
          <w:marLeft w:val="0"/>
          <w:marRight w:val="0"/>
          <w:marTop w:val="0"/>
          <w:marBottom w:val="0"/>
          <w:divBdr>
            <w:top w:val="none" w:sz="0" w:space="0" w:color="auto"/>
            <w:left w:val="none" w:sz="0" w:space="0" w:color="auto"/>
            <w:bottom w:val="none" w:sz="0" w:space="0" w:color="auto"/>
            <w:right w:val="none" w:sz="0" w:space="0" w:color="auto"/>
          </w:divBdr>
          <w:divsChild>
            <w:div w:id="1100295321">
              <w:marLeft w:val="0"/>
              <w:marRight w:val="0"/>
              <w:marTop w:val="0"/>
              <w:marBottom w:val="0"/>
              <w:divBdr>
                <w:top w:val="none" w:sz="0" w:space="0" w:color="auto"/>
                <w:left w:val="none" w:sz="0" w:space="0" w:color="auto"/>
                <w:bottom w:val="none" w:sz="0" w:space="0" w:color="auto"/>
                <w:right w:val="none" w:sz="0" w:space="0" w:color="auto"/>
              </w:divBdr>
            </w:div>
          </w:divsChild>
        </w:div>
        <w:div w:id="2003196649">
          <w:marLeft w:val="0"/>
          <w:marRight w:val="0"/>
          <w:marTop w:val="0"/>
          <w:marBottom w:val="0"/>
          <w:divBdr>
            <w:top w:val="none" w:sz="0" w:space="0" w:color="auto"/>
            <w:left w:val="none" w:sz="0" w:space="0" w:color="auto"/>
            <w:bottom w:val="none" w:sz="0" w:space="0" w:color="auto"/>
            <w:right w:val="none" w:sz="0" w:space="0" w:color="auto"/>
          </w:divBdr>
          <w:divsChild>
            <w:div w:id="214128319">
              <w:marLeft w:val="0"/>
              <w:marRight w:val="0"/>
              <w:marTop w:val="0"/>
              <w:marBottom w:val="0"/>
              <w:divBdr>
                <w:top w:val="none" w:sz="0" w:space="0" w:color="auto"/>
                <w:left w:val="none" w:sz="0" w:space="0" w:color="auto"/>
                <w:bottom w:val="none" w:sz="0" w:space="0" w:color="auto"/>
                <w:right w:val="none" w:sz="0" w:space="0" w:color="auto"/>
              </w:divBdr>
            </w:div>
          </w:divsChild>
        </w:div>
        <w:div w:id="2109159923">
          <w:marLeft w:val="0"/>
          <w:marRight w:val="0"/>
          <w:marTop w:val="0"/>
          <w:marBottom w:val="0"/>
          <w:divBdr>
            <w:top w:val="none" w:sz="0" w:space="0" w:color="auto"/>
            <w:left w:val="none" w:sz="0" w:space="0" w:color="auto"/>
            <w:bottom w:val="none" w:sz="0" w:space="0" w:color="auto"/>
            <w:right w:val="none" w:sz="0" w:space="0" w:color="auto"/>
          </w:divBdr>
          <w:divsChild>
            <w:div w:id="34171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09391">
      <w:bodyDiv w:val="1"/>
      <w:marLeft w:val="0"/>
      <w:marRight w:val="0"/>
      <w:marTop w:val="0"/>
      <w:marBottom w:val="0"/>
      <w:divBdr>
        <w:top w:val="none" w:sz="0" w:space="0" w:color="auto"/>
        <w:left w:val="none" w:sz="0" w:space="0" w:color="auto"/>
        <w:bottom w:val="none" w:sz="0" w:space="0" w:color="auto"/>
        <w:right w:val="none" w:sz="0" w:space="0" w:color="auto"/>
      </w:divBdr>
      <w:divsChild>
        <w:div w:id="38632894">
          <w:marLeft w:val="-75"/>
          <w:marRight w:val="0"/>
          <w:marTop w:val="30"/>
          <w:marBottom w:val="30"/>
          <w:divBdr>
            <w:top w:val="none" w:sz="0" w:space="0" w:color="auto"/>
            <w:left w:val="none" w:sz="0" w:space="0" w:color="auto"/>
            <w:bottom w:val="none" w:sz="0" w:space="0" w:color="auto"/>
            <w:right w:val="none" w:sz="0" w:space="0" w:color="auto"/>
          </w:divBdr>
          <w:divsChild>
            <w:div w:id="43256667">
              <w:marLeft w:val="0"/>
              <w:marRight w:val="0"/>
              <w:marTop w:val="0"/>
              <w:marBottom w:val="0"/>
              <w:divBdr>
                <w:top w:val="none" w:sz="0" w:space="0" w:color="auto"/>
                <w:left w:val="none" w:sz="0" w:space="0" w:color="auto"/>
                <w:bottom w:val="none" w:sz="0" w:space="0" w:color="auto"/>
                <w:right w:val="none" w:sz="0" w:space="0" w:color="auto"/>
              </w:divBdr>
              <w:divsChild>
                <w:div w:id="594049373">
                  <w:marLeft w:val="0"/>
                  <w:marRight w:val="0"/>
                  <w:marTop w:val="0"/>
                  <w:marBottom w:val="0"/>
                  <w:divBdr>
                    <w:top w:val="none" w:sz="0" w:space="0" w:color="auto"/>
                    <w:left w:val="none" w:sz="0" w:space="0" w:color="auto"/>
                    <w:bottom w:val="none" w:sz="0" w:space="0" w:color="auto"/>
                    <w:right w:val="none" w:sz="0" w:space="0" w:color="auto"/>
                  </w:divBdr>
                </w:div>
              </w:divsChild>
            </w:div>
            <w:div w:id="66928875">
              <w:marLeft w:val="0"/>
              <w:marRight w:val="0"/>
              <w:marTop w:val="0"/>
              <w:marBottom w:val="0"/>
              <w:divBdr>
                <w:top w:val="none" w:sz="0" w:space="0" w:color="auto"/>
                <w:left w:val="none" w:sz="0" w:space="0" w:color="auto"/>
                <w:bottom w:val="none" w:sz="0" w:space="0" w:color="auto"/>
                <w:right w:val="none" w:sz="0" w:space="0" w:color="auto"/>
              </w:divBdr>
              <w:divsChild>
                <w:div w:id="34433859">
                  <w:marLeft w:val="0"/>
                  <w:marRight w:val="0"/>
                  <w:marTop w:val="0"/>
                  <w:marBottom w:val="0"/>
                  <w:divBdr>
                    <w:top w:val="none" w:sz="0" w:space="0" w:color="auto"/>
                    <w:left w:val="none" w:sz="0" w:space="0" w:color="auto"/>
                    <w:bottom w:val="none" w:sz="0" w:space="0" w:color="auto"/>
                    <w:right w:val="none" w:sz="0" w:space="0" w:color="auto"/>
                  </w:divBdr>
                </w:div>
              </w:divsChild>
            </w:div>
            <w:div w:id="73937084">
              <w:marLeft w:val="0"/>
              <w:marRight w:val="0"/>
              <w:marTop w:val="0"/>
              <w:marBottom w:val="0"/>
              <w:divBdr>
                <w:top w:val="none" w:sz="0" w:space="0" w:color="auto"/>
                <w:left w:val="none" w:sz="0" w:space="0" w:color="auto"/>
                <w:bottom w:val="none" w:sz="0" w:space="0" w:color="auto"/>
                <w:right w:val="none" w:sz="0" w:space="0" w:color="auto"/>
              </w:divBdr>
              <w:divsChild>
                <w:div w:id="1719013584">
                  <w:marLeft w:val="0"/>
                  <w:marRight w:val="0"/>
                  <w:marTop w:val="0"/>
                  <w:marBottom w:val="0"/>
                  <w:divBdr>
                    <w:top w:val="none" w:sz="0" w:space="0" w:color="auto"/>
                    <w:left w:val="none" w:sz="0" w:space="0" w:color="auto"/>
                    <w:bottom w:val="none" w:sz="0" w:space="0" w:color="auto"/>
                    <w:right w:val="none" w:sz="0" w:space="0" w:color="auto"/>
                  </w:divBdr>
                </w:div>
              </w:divsChild>
            </w:div>
            <w:div w:id="76172004">
              <w:marLeft w:val="0"/>
              <w:marRight w:val="0"/>
              <w:marTop w:val="0"/>
              <w:marBottom w:val="0"/>
              <w:divBdr>
                <w:top w:val="none" w:sz="0" w:space="0" w:color="auto"/>
                <w:left w:val="none" w:sz="0" w:space="0" w:color="auto"/>
                <w:bottom w:val="none" w:sz="0" w:space="0" w:color="auto"/>
                <w:right w:val="none" w:sz="0" w:space="0" w:color="auto"/>
              </w:divBdr>
              <w:divsChild>
                <w:div w:id="1982996702">
                  <w:marLeft w:val="0"/>
                  <w:marRight w:val="0"/>
                  <w:marTop w:val="0"/>
                  <w:marBottom w:val="0"/>
                  <w:divBdr>
                    <w:top w:val="none" w:sz="0" w:space="0" w:color="auto"/>
                    <w:left w:val="none" w:sz="0" w:space="0" w:color="auto"/>
                    <w:bottom w:val="none" w:sz="0" w:space="0" w:color="auto"/>
                    <w:right w:val="none" w:sz="0" w:space="0" w:color="auto"/>
                  </w:divBdr>
                </w:div>
              </w:divsChild>
            </w:div>
            <w:div w:id="161625772">
              <w:marLeft w:val="0"/>
              <w:marRight w:val="0"/>
              <w:marTop w:val="0"/>
              <w:marBottom w:val="0"/>
              <w:divBdr>
                <w:top w:val="none" w:sz="0" w:space="0" w:color="auto"/>
                <w:left w:val="none" w:sz="0" w:space="0" w:color="auto"/>
                <w:bottom w:val="none" w:sz="0" w:space="0" w:color="auto"/>
                <w:right w:val="none" w:sz="0" w:space="0" w:color="auto"/>
              </w:divBdr>
              <w:divsChild>
                <w:div w:id="822163216">
                  <w:marLeft w:val="0"/>
                  <w:marRight w:val="0"/>
                  <w:marTop w:val="0"/>
                  <w:marBottom w:val="0"/>
                  <w:divBdr>
                    <w:top w:val="none" w:sz="0" w:space="0" w:color="auto"/>
                    <w:left w:val="none" w:sz="0" w:space="0" w:color="auto"/>
                    <w:bottom w:val="none" w:sz="0" w:space="0" w:color="auto"/>
                    <w:right w:val="none" w:sz="0" w:space="0" w:color="auto"/>
                  </w:divBdr>
                </w:div>
              </w:divsChild>
            </w:div>
            <w:div w:id="253394191">
              <w:marLeft w:val="0"/>
              <w:marRight w:val="0"/>
              <w:marTop w:val="0"/>
              <w:marBottom w:val="0"/>
              <w:divBdr>
                <w:top w:val="none" w:sz="0" w:space="0" w:color="auto"/>
                <w:left w:val="none" w:sz="0" w:space="0" w:color="auto"/>
                <w:bottom w:val="none" w:sz="0" w:space="0" w:color="auto"/>
                <w:right w:val="none" w:sz="0" w:space="0" w:color="auto"/>
              </w:divBdr>
              <w:divsChild>
                <w:div w:id="1655796644">
                  <w:marLeft w:val="0"/>
                  <w:marRight w:val="0"/>
                  <w:marTop w:val="0"/>
                  <w:marBottom w:val="0"/>
                  <w:divBdr>
                    <w:top w:val="none" w:sz="0" w:space="0" w:color="auto"/>
                    <w:left w:val="none" w:sz="0" w:space="0" w:color="auto"/>
                    <w:bottom w:val="none" w:sz="0" w:space="0" w:color="auto"/>
                    <w:right w:val="none" w:sz="0" w:space="0" w:color="auto"/>
                  </w:divBdr>
                </w:div>
              </w:divsChild>
            </w:div>
            <w:div w:id="288509758">
              <w:marLeft w:val="0"/>
              <w:marRight w:val="0"/>
              <w:marTop w:val="0"/>
              <w:marBottom w:val="0"/>
              <w:divBdr>
                <w:top w:val="none" w:sz="0" w:space="0" w:color="auto"/>
                <w:left w:val="none" w:sz="0" w:space="0" w:color="auto"/>
                <w:bottom w:val="none" w:sz="0" w:space="0" w:color="auto"/>
                <w:right w:val="none" w:sz="0" w:space="0" w:color="auto"/>
              </w:divBdr>
              <w:divsChild>
                <w:div w:id="1737168037">
                  <w:marLeft w:val="0"/>
                  <w:marRight w:val="0"/>
                  <w:marTop w:val="0"/>
                  <w:marBottom w:val="0"/>
                  <w:divBdr>
                    <w:top w:val="none" w:sz="0" w:space="0" w:color="auto"/>
                    <w:left w:val="none" w:sz="0" w:space="0" w:color="auto"/>
                    <w:bottom w:val="none" w:sz="0" w:space="0" w:color="auto"/>
                    <w:right w:val="none" w:sz="0" w:space="0" w:color="auto"/>
                  </w:divBdr>
                </w:div>
              </w:divsChild>
            </w:div>
            <w:div w:id="299313014">
              <w:marLeft w:val="0"/>
              <w:marRight w:val="0"/>
              <w:marTop w:val="0"/>
              <w:marBottom w:val="0"/>
              <w:divBdr>
                <w:top w:val="none" w:sz="0" w:space="0" w:color="auto"/>
                <w:left w:val="none" w:sz="0" w:space="0" w:color="auto"/>
                <w:bottom w:val="none" w:sz="0" w:space="0" w:color="auto"/>
                <w:right w:val="none" w:sz="0" w:space="0" w:color="auto"/>
              </w:divBdr>
              <w:divsChild>
                <w:div w:id="1461924281">
                  <w:marLeft w:val="0"/>
                  <w:marRight w:val="0"/>
                  <w:marTop w:val="0"/>
                  <w:marBottom w:val="0"/>
                  <w:divBdr>
                    <w:top w:val="none" w:sz="0" w:space="0" w:color="auto"/>
                    <w:left w:val="none" w:sz="0" w:space="0" w:color="auto"/>
                    <w:bottom w:val="none" w:sz="0" w:space="0" w:color="auto"/>
                    <w:right w:val="none" w:sz="0" w:space="0" w:color="auto"/>
                  </w:divBdr>
                </w:div>
              </w:divsChild>
            </w:div>
            <w:div w:id="305743092">
              <w:marLeft w:val="0"/>
              <w:marRight w:val="0"/>
              <w:marTop w:val="0"/>
              <w:marBottom w:val="0"/>
              <w:divBdr>
                <w:top w:val="none" w:sz="0" w:space="0" w:color="auto"/>
                <w:left w:val="none" w:sz="0" w:space="0" w:color="auto"/>
                <w:bottom w:val="none" w:sz="0" w:space="0" w:color="auto"/>
                <w:right w:val="none" w:sz="0" w:space="0" w:color="auto"/>
              </w:divBdr>
              <w:divsChild>
                <w:div w:id="1134713899">
                  <w:marLeft w:val="0"/>
                  <w:marRight w:val="0"/>
                  <w:marTop w:val="0"/>
                  <w:marBottom w:val="0"/>
                  <w:divBdr>
                    <w:top w:val="none" w:sz="0" w:space="0" w:color="auto"/>
                    <w:left w:val="none" w:sz="0" w:space="0" w:color="auto"/>
                    <w:bottom w:val="none" w:sz="0" w:space="0" w:color="auto"/>
                    <w:right w:val="none" w:sz="0" w:space="0" w:color="auto"/>
                  </w:divBdr>
                </w:div>
              </w:divsChild>
            </w:div>
            <w:div w:id="341276504">
              <w:marLeft w:val="0"/>
              <w:marRight w:val="0"/>
              <w:marTop w:val="0"/>
              <w:marBottom w:val="0"/>
              <w:divBdr>
                <w:top w:val="none" w:sz="0" w:space="0" w:color="auto"/>
                <w:left w:val="none" w:sz="0" w:space="0" w:color="auto"/>
                <w:bottom w:val="none" w:sz="0" w:space="0" w:color="auto"/>
                <w:right w:val="none" w:sz="0" w:space="0" w:color="auto"/>
              </w:divBdr>
              <w:divsChild>
                <w:div w:id="83037669">
                  <w:marLeft w:val="0"/>
                  <w:marRight w:val="0"/>
                  <w:marTop w:val="0"/>
                  <w:marBottom w:val="0"/>
                  <w:divBdr>
                    <w:top w:val="none" w:sz="0" w:space="0" w:color="auto"/>
                    <w:left w:val="none" w:sz="0" w:space="0" w:color="auto"/>
                    <w:bottom w:val="none" w:sz="0" w:space="0" w:color="auto"/>
                    <w:right w:val="none" w:sz="0" w:space="0" w:color="auto"/>
                  </w:divBdr>
                </w:div>
              </w:divsChild>
            </w:div>
            <w:div w:id="366420004">
              <w:marLeft w:val="0"/>
              <w:marRight w:val="0"/>
              <w:marTop w:val="0"/>
              <w:marBottom w:val="0"/>
              <w:divBdr>
                <w:top w:val="none" w:sz="0" w:space="0" w:color="auto"/>
                <w:left w:val="none" w:sz="0" w:space="0" w:color="auto"/>
                <w:bottom w:val="none" w:sz="0" w:space="0" w:color="auto"/>
                <w:right w:val="none" w:sz="0" w:space="0" w:color="auto"/>
              </w:divBdr>
              <w:divsChild>
                <w:div w:id="1856117959">
                  <w:marLeft w:val="0"/>
                  <w:marRight w:val="0"/>
                  <w:marTop w:val="0"/>
                  <w:marBottom w:val="0"/>
                  <w:divBdr>
                    <w:top w:val="none" w:sz="0" w:space="0" w:color="auto"/>
                    <w:left w:val="none" w:sz="0" w:space="0" w:color="auto"/>
                    <w:bottom w:val="none" w:sz="0" w:space="0" w:color="auto"/>
                    <w:right w:val="none" w:sz="0" w:space="0" w:color="auto"/>
                  </w:divBdr>
                </w:div>
              </w:divsChild>
            </w:div>
            <w:div w:id="401608771">
              <w:marLeft w:val="0"/>
              <w:marRight w:val="0"/>
              <w:marTop w:val="0"/>
              <w:marBottom w:val="0"/>
              <w:divBdr>
                <w:top w:val="none" w:sz="0" w:space="0" w:color="auto"/>
                <w:left w:val="none" w:sz="0" w:space="0" w:color="auto"/>
                <w:bottom w:val="none" w:sz="0" w:space="0" w:color="auto"/>
                <w:right w:val="none" w:sz="0" w:space="0" w:color="auto"/>
              </w:divBdr>
              <w:divsChild>
                <w:div w:id="4986388">
                  <w:marLeft w:val="0"/>
                  <w:marRight w:val="0"/>
                  <w:marTop w:val="0"/>
                  <w:marBottom w:val="0"/>
                  <w:divBdr>
                    <w:top w:val="none" w:sz="0" w:space="0" w:color="auto"/>
                    <w:left w:val="none" w:sz="0" w:space="0" w:color="auto"/>
                    <w:bottom w:val="none" w:sz="0" w:space="0" w:color="auto"/>
                    <w:right w:val="none" w:sz="0" w:space="0" w:color="auto"/>
                  </w:divBdr>
                </w:div>
              </w:divsChild>
            </w:div>
            <w:div w:id="414395915">
              <w:marLeft w:val="0"/>
              <w:marRight w:val="0"/>
              <w:marTop w:val="0"/>
              <w:marBottom w:val="0"/>
              <w:divBdr>
                <w:top w:val="none" w:sz="0" w:space="0" w:color="auto"/>
                <w:left w:val="none" w:sz="0" w:space="0" w:color="auto"/>
                <w:bottom w:val="none" w:sz="0" w:space="0" w:color="auto"/>
                <w:right w:val="none" w:sz="0" w:space="0" w:color="auto"/>
              </w:divBdr>
              <w:divsChild>
                <w:div w:id="149832673">
                  <w:marLeft w:val="0"/>
                  <w:marRight w:val="0"/>
                  <w:marTop w:val="0"/>
                  <w:marBottom w:val="0"/>
                  <w:divBdr>
                    <w:top w:val="none" w:sz="0" w:space="0" w:color="auto"/>
                    <w:left w:val="none" w:sz="0" w:space="0" w:color="auto"/>
                    <w:bottom w:val="none" w:sz="0" w:space="0" w:color="auto"/>
                    <w:right w:val="none" w:sz="0" w:space="0" w:color="auto"/>
                  </w:divBdr>
                </w:div>
              </w:divsChild>
            </w:div>
            <w:div w:id="494344372">
              <w:marLeft w:val="0"/>
              <w:marRight w:val="0"/>
              <w:marTop w:val="0"/>
              <w:marBottom w:val="0"/>
              <w:divBdr>
                <w:top w:val="none" w:sz="0" w:space="0" w:color="auto"/>
                <w:left w:val="none" w:sz="0" w:space="0" w:color="auto"/>
                <w:bottom w:val="none" w:sz="0" w:space="0" w:color="auto"/>
                <w:right w:val="none" w:sz="0" w:space="0" w:color="auto"/>
              </w:divBdr>
              <w:divsChild>
                <w:div w:id="903486870">
                  <w:marLeft w:val="0"/>
                  <w:marRight w:val="0"/>
                  <w:marTop w:val="0"/>
                  <w:marBottom w:val="0"/>
                  <w:divBdr>
                    <w:top w:val="none" w:sz="0" w:space="0" w:color="auto"/>
                    <w:left w:val="none" w:sz="0" w:space="0" w:color="auto"/>
                    <w:bottom w:val="none" w:sz="0" w:space="0" w:color="auto"/>
                    <w:right w:val="none" w:sz="0" w:space="0" w:color="auto"/>
                  </w:divBdr>
                </w:div>
              </w:divsChild>
            </w:div>
            <w:div w:id="505024949">
              <w:marLeft w:val="0"/>
              <w:marRight w:val="0"/>
              <w:marTop w:val="0"/>
              <w:marBottom w:val="0"/>
              <w:divBdr>
                <w:top w:val="none" w:sz="0" w:space="0" w:color="auto"/>
                <w:left w:val="none" w:sz="0" w:space="0" w:color="auto"/>
                <w:bottom w:val="none" w:sz="0" w:space="0" w:color="auto"/>
                <w:right w:val="none" w:sz="0" w:space="0" w:color="auto"/>
              </w:divBdr>
              <w:divsChild>
                <w:div w:id="143208205">
                  <w:marLeft w:val="0"/>
                  <w:marRight w:val="0"/>
                  <w:marTop w:val="0"/>
                  <w:marBottom w:val="0"/>
                  <w:divBdr>
                    <w:top w:val="none" w:sz="0" w:space="0" w:color="auto"/>
                    <w:left w:val="none" w:sz="0" w:space="0" w:color="auto"/>
                    <w:bottom w:val="none" w:sz="0" w:space="0" w:color="auto"/>
                    <w:right w:val="none" w:sz="0" w:space="0" w:color="auto"/>
                  </w:divBdr>
                </w:div>
              </w:divsChild>
            </w:div>
            <w:div w:id="564727348">
              <w:marLeft w:val="0"/>
              <w:marRight w:val="0"/>
              <w:marTop w:val="0"/>
              <w:marBottom w:val="0"/>
              <w:divBdr>
                <w:top w:val="none" w:sz="0" w:space="0" w:color="auto"/>
                <w:left w:val="none" w:sz="0" w:space="0" w:color="auto"/>
                <w:bottom w:val="none" w:sz="0" w:space="0" w:color="auto"/>
                <w:right w:val="none" w:sz="0" w:space="0" w:color="auto"/>
              </w:divBdr>
              <w:divsChild>
                <w:div w:id="1944071836">
                  <w:marLeft w:val="0"/>
                  <w:marRight w:val="0"/>
                  <w:marTop w:val="0"/>
                  <w:marBottom w:val="0"/>
                  <w:divBdr>
                    <w:top w:val="none" w:sz="0" w:space="0" w:color="auto"/>
                    <w:left w:val="none" w:sz="0" w:space="0" w:color="auto"/>
                    <w:bottom w:val="none" w:sz="0" w:space="0" w:color="auto"/>
                    <w:right w:val="none" w:sz="0" w:space="0" w:color="auto"/>
                  </w:divBdr>
                </w:div>
              </w:divsChild>
            </w:div>
            <w:div w:id="665400564">
              <w:marLeft w:val="0"/>
              <w:marRight w:val="0"/>
              <w:marTop w:val="0"/>
              <w:marBottom w:val="0"/>
              <w:divBdr>
                <w:top w:val="none" w:sz="0" w:space="0" w:color="auto"/>
                <w:left w:val="none" w:sz="0" w:space="0" w:color="auto"/>
                <w:bottom w:val="none" w:sz="0" w:space="0" w:color="auto"/>
                <w:right w:val="none" w:sz="0" w:space="0" w:color="auto"/>
              </w:divBdr>
              <w:divsChild>
                <w:div w:id="1338115413">
                  <w:marLeft w:val="0"/>
                  <w:marRight w:val="0"/>
                  <w:marTop w:val="0"/>
                  <w:marBottom w:val="0"/>
                  <w:divBdr>
                    <w:top w:val="none" w:sz="0" w:space="0" w:color="auto"/>
                    <w:left w:val="none" w:sz="0" w:space="0" w:color="auto"/>
                    <w:bottom w:val="none" w:sz="0" w:space="0" w:color="auto"/>
                    <w:right w:val="none" w:sz="0" w:space="0" w:color="auto"/>
                  </w:divBdr>
                </w:div>
              </w:divsChild>
            </w:div>
            <w:div w:id="843860093">
              <w:marLeft w:val="0"/>
              <w:marRight w:val="0"/>
              <w:marTop w:val="0"/>
              <w:marBottom w:val="0"/>
              <w:divBdr>
                <w:top w:val="none" w:sz="0" w:space="0" w:color="auto"/>
                <w:left w:val="none" w:sz="0" w:space="0" w:color="auto"/>
                <w:bottom w:val="none" w:sz="0" w:space="0" w:color="auto"/>
                <w:right w:val="none" w:sz="0" w:space="0" w:color="auto"/>
              </w:divBdr>
              <w:divsChild>
                <w:div w:id="1738286014">
                  <w:marLeft w:val="0"/>
                  <w:marRight w:val="0"/>
                  <w:marTop w:val="0"/>
                  <w:marBottom w:val="0"/>
                  <w:divBdr>
                    <w:top w:val="none" w:sz="0" w:space="0" w:color="auto"/>
                    <w:left w:val="none" w:sz="0" w:space="0" w:color="auto"/>
                    <w:bottom w:val="none" w:sz="0" w:space="0" w:color="auto"/>
                    <w:right w:val="none" w:sz="0" w:space="0" w:color="auto"/>
                  </w:divBdr>
                </w:div>
              </w:divsChild>
            </w:div>
            <w:div w:id="870072217">
              <w:marLeft w:val="0"/>
              <w:marRight w:val="0"/>
              <w:marTop w:val="0"/>
              <w:marBottom w:val="0"/>
              <w:divBdr>
                <w:top w:val="none" w:sz="0" w:space="0" w:color="auto"/>
                <w:left w:val="none" w:sz="0" w:space="0" w:color="auto"/>
                <w:bottom w:val="none" w:sz="0" w:space="0" w:color="auto"/>
                <w:right w:val="none" w:sz="0" w:space="0" w:color="auto"/>
              </w:divBdr>
              <w:divsChild>
                <w:div w:id="1867526332">
                  <w:marLeft w:val="0"/>
                  <w:marRight w:val="0"/>
                  <w:marTop w:val="0"/>
                  <w:marBottom w:val="0"/>
                  <w:divBdr>
                    <w:top w:val="none" w:sz="0" w:space="0" w:color="auto"/>
                    <w:left w:val="none" w:sz="0" w:space="0" w:color="auto"/>
                    <w:bottom w:val="none" w:sz="0" w:space="0" w:color="auto"/>
                    <w:right w:val="none" w:sz="0" w:space="0" w:color="auto"/>
                  </w:divBdr>
                </w:div>
              </w:divsChild>
            </w:div>
            <w:div w:id="875891698">
              <w:marLeft w:val="0"/>
              <w:marRight w:val="0"/>
              <w:marTop w:val="0"/>
              <w:marBottom w:val="0"/>
              <w:divBdr>
                <w:top w:val="none" w:sz="0" w:space="0" w:color="auto"/>
                <w:left w:val="none" w:sz="0" w:space="0" w:color="auto"/>
                <w:bottom w:val="none" w:sz="0" w:space="0" w:color="auto"/>
                <w:right w:val="none" w:sz="0" w:space="0" w:color="auto"/>
              </w:divBdr>
              <w:divsChild>
                <w:div w:id="1665232708">
                  <w:marLeft w:val="0"/>
                  <w:marRight w:val="0"/>
                  <w:marTop w:val="0"/>
                  <w:marBottom w:val="0"/>
                  <w:divBdr>
                    <w:top w:val="none" w:sz="0" w:space="0" w:color="auto"/>
                    <w:left w:val="none" w:sz="0" w:space="0" w:color="auto"/>
                    <w:bottom w:val="none" w:sz="0" w:space="0" w:color="auto"/>
                    <w:right w:val="none" w:sz="0" w:space="0" w:color="auto"/>
                  </w:divBdr>
                </w:div>
              </w:divsChild>
            </w:div>
            <w:div w:id="1098060504">
              <w:marLeft w:val="0"/>
              <w:marRight w:val="0"/>
              <w:marTop w:val="0"/>
              <w:marBottom w:val="0"/>
              <w:divBdr>
                <w:top w:val="none" w:sz="0" w:space="0" w:color="auto"/>
                <w:left w:val="none" w:sz="0" w:space="0" w:color="auto"/>
                <w:bottom w:val="none" w:sz="0" w:space="0" w:color="auto"/>
                <w:right w:val="none" w:sz="0" w:space="0" w:color="auto"/>
              </w:divBdr>
              <w:divsChild>
                <w:div w:id="2031759645">
                  <w:marLeft w:val="0"/>
                  <w:marRight w:val="0"/>
                  <w:marTop w:val="0"/>
                  <w:marBottom w:val="0"/>
                  <w:divBdr>
                    <w:top w:val="none" w:sz="0" w:space="0" w:color="auto"/>
                    <w:left w:val="none" w:sz="0" w:space="0" w:color="auto"/>
                    <w:bottom w:val="none" w:sz="0" w:space="0" w:color="auto"/>
                    <w:right w:val="none" w:sz="0" w:space="0" w:color="auto"/>
                  </w:divBdr>
                </w:div>
              </w:divsChild>
            </w:div>
            <w:div w:id="1244921893">
              <w:marLeft w:val="0"/>
              <w:marRight w:val="0"/>
              <w:marTop w:val="0"/>
              <w:marBottom w:val="0"/>
              <w:divBdr>
                <w:top w:val="none" w:sz="0" w:space="0" w:color="auto"/>
                <w:left w:val="none" w:sz="0" w:space="0" w:color="auto"/>
                <w:bottom w:val="none" w:sz="0" w:space="0" w:color="auto"/>
                <w:right w:val="none" w:sz="0" w:space="0" w:color="auto"/>
              </w:divBdr>
              <w:divsChild>
                <w:div w:id="1660771603">
                  <w:marLeft w:val="0"/>
                  <w:marRight w:val="0"/>
                  <w:marTop w:val="0"/>
                  <w:marBottom w:val="0"/>
                  <w:divBdr>
                    <w:top w:val="none" w:sz="0" w:space="0" w:color="auto"/>
                    <w:left w:val="none" w:sz="0" w:space="0" w:color="auto"/>
                    <w:bottom w:val="none" w:sz="0" w:space="0" w:color="auto"/>
                    <w:right w:val="none" w:sz="0" w:space="0" w:color="auto"/>
                  </w:divBdr>
                </w:div>
              </w:divsChild>
            </w:div>
            <w:div w:id="1323192846">
              <w:marLeft w:val="0"/>
              <w:marRight w:val="0"/>
              <w:marTop w:val="0"/>
              <w:marBottom w:val="0"/>
              <w:divBdr>
                <w:top w:val="none" w:sz="0" w:space="0" w:color="auto"/>
                <w:left w:val="none" w:sz="0" w:space="0" w:color="auto"/>
                <w:bottom w:val="none" w:sz="0" w:space="0" w:color="auto"/>
                <w:right w:val="none" w:sz="0" w:space="0" w:color="auto"/>
              </w:divBdr>
              <w:divsChild>
                <w:div w:id="409697664">
                  <w:marLeft w:val="0"/>
                  <w:marRight w:val="0"/>
                  <w:marTop w:val="0"/>
                  <w:marBottom w:val="0"/>
                  <w:divBdr>
                    <w:top w:val="none" w:sz="0" w:space="0" w:color="auto"/>
                    <w:left w:val="none" w:sz="0" w:space="0" w:color="auto"/>
                    <w:bottom w:val="none" w:sz="0" w:space="0" w:color="auto"/>
                    <w:right w:val="none" w:sz="0" w:space="0" w:color="auto"/>
                  </w:divBdr>
                </w:div>
              </w:divsChild>
            </w:div>
            <w:div w:id="1339389700">
              <w:marLeft w:val="0"/>
              <w:marRight w:val="0"/>
              <w:marTop w:val="0"/>
              <w:marBottom w:val="0"/>
              <w:divBdr>
                <w:top w:val="none" w:sz="0" w:space="0" w:color="auto"/>
                <w:left w:val="none" w:sz="0" w:space="0" w:color="auto"/>
                <w:bottom w:val="none" w:sz="0" w:space="0" w:color="auto"/>
                <w:right w:val="none" w:sz="0" w:space="0" w:color="auto"/>
              </w:divBdr>
              <w:divsChild>
                <w:div w:id="1496338937">
                  <w:marLeft w:val="0"/>
                  <w:marRight w:val="0"/>
                  <w:marTop w:val="0"/>
                  <w:marBottom w:val="0"/>
                  <w:divBdr>
                    <w:top w:val="none" w:sz="0" w:space="0" w:color="auto"/>
                    <w:left w:val="none" w:sz="0" w:space="0" w:color="auto"/>
                    <w:bottom w:val="none" w:sz="0" w:space="0" w:color="auto"/>
                    <w:right w:val="none" w:sz="0" w:space="0" w:color="auto"/>
                  </w:divBdr>
                </w:div>
              </w:divsChild>
            </w:div>
            <w:div w:id="1455710222">
              <w:marLeft w:val="0"/>
              <w:marRight w:val="0"/>
              <w:marTop w:val="0"/>
              <w:marBottom w:val="0"/>
              <w:divBdr>
                <w:top w:val="none" w:sz="0" w:space="0" w:color="auto"/>
                <w:left w:val="none" w:sz="0" w:space="0" w:color="auto"/>
                <w:bottom w:val="none" w:sz="0" w:space="0" w:color="auto"/>
                <w:right w:val="none" w:sz="0" w:space="0" w:color="auto"/>
              </w:divBdr>
              <w:divsChild>
                <w:div w:id="1595243768">
                  <w:marLeft w:val="0"/>
                  <w:marRight w:val="0"/>
                  <w:marTop w:val="0"/>
                  <w:marBottom w:val="0"/>
                  <w:divBdr>
                    <w:top w:val="none" w:sz="0" w:space="0" w:color="auto"/>
                    <w:left w:val="none" w:sz="0" w:space="0" w:color="auto"/>
                    <w:bottom w:val="none" w:sz="0" w:space="0" w:color="auto"/>
                    <w:right w:val="none" w:sz="0" w:space="0" w:color="auto"/>
                  </w:divBdr>
                </w:div>
              </w:divsChild>
            </w:div>
            <w:div w:id="1461848487">
              <w:marLeft w:val="0"/>
              <w:marRight w:val="0"/>
              <w:marTop w:val="0"/>
              <w:marBottom w:val="0"/>
              <w:divBdr>
                <w:top w:val="none" w:sz="0" w:space="0" w:color="auto"/>
                <w:left w:val="none" w:sz="0" w:space="0" w:color="auto"/>
                <w:bottom w:val="none" w:sz="0" w:space="0" w:color="auto"/>
                <w:right w:val="none" w:sz="0" w:space="0" w:color="auto"/>
              </w:divBdr>
              <w:divsChild>
                <w:div w:id="967052464">
                  <w:marLeft w:val="0"/>
                  <w:marRight w:val="0"/>
                  <w:marTop w:val="0"/>
                  <w:marBottom w:val="0"/>
                  <w:divBdr>
                    <w:top w:val="none" w:sz="0" w:space="0" w:color="auto"/>
                    <w:left w:val="none" w:sz="0" w:space="0" w:color="auto"/>
                    <w:bottom w:val="none" w:sz="0" w:space="0" w:color="auto"/>
                    <w:right w:val="none" w:sz="0" w:space="0" w:color="auto"/>
                  </w:divBdr>
                </w:div>
              </w:divsChild>
            </w:div>
            <w:div w:id="1475567552">
              <w:marLeft w:val="0"/>
              <w:marRight w:val="0"/>
              <w:marTop w:val="0"/>
              <w:marBottom w:val="0"/>
              <w:divBdr>
                <w:top w:val="none" w:sz="0" w:space="0" w:color="auto"/>
                <w:left w:val="none" w:sz="0" w:space="0" w:color="auto"/>
                <w:bottom w:val="none" w:sz="0" w:space="0" w:color="auto"/>
                <w:right w:val="none" w:sz="0" w:space="0" w:color="auto"/>
              </w:divBdr>
              <w:divsChild>
                <w:div w:id="359745293">
                  <w:marLeft w:val="0"/>
                  <w:marRight w:val="0"/>
                  <w:marTop w:val="0"/>
                  <w:marBottom w:val="0"/>
                  <w:divBdr>
                    <w:top w:val="none" w:sz="0" w:space="0" w:color="auto"/>
                    <w:left w:val="none" w:sz="0" w:space="0" w:color="auto"/>
                    <w:bottom w:val="none" w:sz="0" w:space="0" w:color="auto"/>
                    <w:right w:val="none" w:sz="0" w:space="0" w:color="auto"/>
                  </w:divBdr>
                </w:div>
              </w:divsChild>
            </w:div>
            <w:div w:id="1499151415">
              <w:marLeft w:val="0"/>
              <w:marRight w:val="0"/>
              <w:marTop w:val="0"/>
              <w:marBottom w:val="0"/>
              <w:divBdr>
                <w:top w:val="none" w:sz="0" w:space="0" w:color="auto"/>
                <w:left w:val="none" w:sz="0" w:space="0" w:color="auto"/>
                <w:bottom w:val="none" w:sz="0" w:space="0" w:color="auto"/>
                <w:right w:val="none" w:sz="0" w:space="0" w:color="auto"/>
              </w:divBdr>
              <w:divsChild>
                <w:div w:id="57672796">
                  <w:marLeft w:val="0"/>
                  <w:marRight w:val="0"/>
                  <w:marTop w:val="0"/>
                  <w:marBottom w:val="0"/>
                  <w:divBdr>
                    <w:top w:val="none" w:sz="0" w:space="0" w:color="auto"/>
                    <w:left w:val="none" w:sz="0" w:space="0" w:color="auto"/>
                    <w:bottom w:val="none" w:sz="0" w:space="0" w:color="auto"/>
                    <w:right w:val="none" w:sz="0" w:space="0" w:color="auto"/>
                  </w:divBdr>
                </w:div>
              </w:divsChild>
            </w:div>
            <w:div w:id="1677540582">
              <w:marLeft w:val="0"/>
              <w:marRight w:val="0"/>
              <w:marTop w:val="0"/>
              <w:marBottom w:val="0"/>
              <w:divBdr>
                <w:top w:val="none" w:sz="0" w:space="0" w:color="auto"/>
                <w:left w:val="none" w:sz="0" w:space="0" w:color="auto"/>
                <w:bottom w:val="none" w:sz="0" w:space="0" w:color="auto"/>
                <w:right w:val="none" w:sz="0" w:space="0" w:color="auto"/>
              </w:divBdr>
              <w:divsChild>
                <w:div w:id="514031574">
                  <w:marLeft w:val="0"/>
                  <w:marRight w:val="0"/>
                  <w:marTop w:val="0"/>
                  <w:marBottom w:val="0"/>
                  <w:divBdr>
                    <w:top w:val="none" w:sz="0" w:space="0" w:color="auto"/>
                    <w:left w:val="none" w:sz="0" w:space="0" w:color="auto"/>
                    <w:bottom w:val="none" w:sz="0" w:space="0" w:color="auto"/>
                    <w:right w:val="none" w:sz="0" w:space="0" w:color="auto"/>
                  </w:divBdr>
                </w:div>
              </w:divsChild>
            </w:div>
            <w:div w:id="1686666969">
              <w:marLeft w:val="0"/>
              <w:marRight w:val="0"/>
              <w:marTop w:val="0"/>
              <w:marBottom w:val="0"/>
              <w:divBdr>
                <w:top w:val="none" w:sz="0" w:space="0" w:color="auto"/>
                <w:left w:val="none" w:sz="0" w:space="0" w:color="auto"/>
                <w:bottom w:val="none" w:sz="0" w:space="0" w:color="auto"/>
                <w:right w:val="none" w:sz="0" w:space="0" w:color="auto"/>
              </w:divBdr>
              <w:divsChild>
                <w:div w:id="1878160722">
                  <w:marLeft w:val="0"/>
                  <w:marRight w:val="0"/>
                  <w:marTop w:val="0"/>
                  <w:marBottom w:val="0"/>
                  <w:divBdr>
                    <w:top w:val="none" w:sz="0" w:space="0" w:color="auto"/>
                    <w:left w:val="none" w:sz="0" w:space="0" w:color="auto"/>
                    <w:bottom w:val="none" w:sz="0" w:space="0" w:color="auto"/>
                    <w:right w:val="none" w:sz="0" w:space="0" w:color="auto"/>
                  </w:divBdr>
                </w:div>
              </w:divsChild>
            </w:div>
            <w:div w:id="1714884251">
              <w:marLeft w:val="0"/>
              <w:marRight w:val="0"/>
              <w:marTop w:val="0"/>
              <w:marBottom w:val="0"/>
              <w:divBdr>
                <w:top w:val="none" w:sz="0" w:space="0" w:color="auto"/>
                <w:left w:val="none" w:sz="0" w:space="0" w:color="auto"/>
                <w:bottom w:val="none" w:sz="0" w:space="0" w:color="auto"/>
                <w:right w:val="none" w:sz="0" w:space="0" w:color="auto"/>
              </w:divBdr>
              <w:divsChild>
                <w:div w:id="443619909">
                  <w:marLeft w:val="0"/>
                  <w:marRight w:val="0"/>
                  <w:marTop w:val="0"/>
                  <w:marBottom w:val="0"/>
                  <w:divBdr>
                    <w:top w:val="none" w:sz="0" w:space="0" w:color="auto"/>
                    <w:left w:val="none" w:sz="0" w:space="0" w:color="auto"/>
                    <w:bottom w:val="none" w:sz="0" w:space="0" w:color="auto"/>
                    <w:right w:val="none" w:sz="0" w:space="0" w:color="auto"/>
                  </w:divBdr>
                </w:div>
              </w:divsChild>
            </w:div>
            <w:div w:id="1759519478">
              <w:marLeft w:val="0"/>
              <w:marRight w:val="0"/>
              <w:marTop w:val="0"/>
              <w:marBottom w:val="0"/>
              <w:divBdr>
                <w:top w:val="none" w:sz="0" w:space="0" w:color="auto"/>
                <w:left w:val="none" w:sz="0" w:space="0" w:color="auto"/>
                <w:bottom w:val="none" w:sz="0" w:space="0" w:color="auto"/>
                <w:right w:val="none" w:sz="0" w:space="0" w:color="auto"/>
              </w:divBdr>
              <w:divsChild>
                <w:div w:id="1541940216">
                  <w:marLeft w:val="0"/>
                  <w:marRight w:val="0"/>
                  <w:marTop w:val="0"/>
                  <w:marBottom w:val="0"/>
                  <w:divBdr>
                    <w:top w:val="none" w:sz="0" w:space="0" w:color="auto"/>
                    <w:left w:val="none" w:sz="0" w:space="0" w:color="auto"/>
                    <w:bottom w:val="none" w:sz="0" w:space="0" w:color="auto"/>
                    <w:right w:val="none" w:sz="0" w:space="0" w:color="auto"/>
                  </w:divBdr>
                </w:div>
              </w:divsChild>
            </w:div>
            <w:div w:id="1840585242">
              <w:marLeft w:val="0"/>
              <w:marRight w:val="0"/>
              <w:marTop w:val="0"/>
              <w:marBottom w:val="0"/>
              <w:divBdr>
                <w:top w:val="none" w:sz="0" w:space="0" w:color="auto"/>
                <w:left w:val="none" w:sz="0" w:space="0" w:color="auto"/>
                <w:bottom w:val="none" w:sz="0" w:space="0" w:color="auto"/>
                <w:right w:val="none" w:sz="0" w:space="0" w:color="auto"/>
              </w:divBdr>
              <w:divsChild>
                <w:div w:id="572855864">
                  <w:marLeft w:val="0"/>
                  <w:marRight w:val="0"/>
                  <w:marTop w:val="0"/>
                  <w:marBottom w:val="0"/>
                  <w:divBdr>
                    <w:top w:val="none" w:sz="0" w:space="0" w:color="auto"/>
                    <w:left w:val="none" w:sz="0" w:space="0" w:color="auto"/>
                    <w:bottom w:val="none" w:sz="0" w:space="0" w:color="auto"/>
                    <w:right w:val="none" w:sz="0" w:space="0" w:color="auto"/>
                  </w:divBdr>
                </w:div>
              </w:divsChild>
            </w:div>
            <w:div w:id="1869558357">
              <w:marLeft w:val="0"/>
              <w:marRight w:val="0"/>
              <w:marTop w:val="0"/>
              <w:marBottom w:val="0"/>
              <w:divBdr>
                <w:top w:val="none" w:sz="0" w:space="0" w:color="auto"/>
                <w:left w:val="none" w:sz="0" w:space="0" w:color="auto"/>
                <w:bottom w:val="none" w:sz="0" w:space="0" w:color="auto"/>
                <w:right w:val="none" w:sz="0" w:space="0" w:color="auto"/>
              </w:divBdr>
              <w:divsChild>
                <w:div w:id="1169098648">
                  <w:marLeft w:val="0"/>
                  <w:marRight w:val="0"/>
                  <w:marTop w:val="0"/>
                  <w:marBottom w:val="0"/>
                  <w:divBdr>
                    <w:top w:val="none" w:sz="0" w:space="0" w:color="auto"/>
                    <w:left w:val="none" w:sz="0" w:space="0" w:color="auto"/>
                    <w:bottom w:val="none" w:sz="0" w:space="0" w:color="auto"/>
                    <w:right w:val="none" w:sz="0" w:space="0" w:color="auto"/>
                  </w:divBdr>
                </w:div>
              </w:divsChild>
            </w:div>
            <w:div w:id="1876043692">
              <w:marLeft w:val="0"/>
              <w:marRight w:val="0"/>
              <w:marTop w:val="0"/>
              <w:marBottom w:val="0"/>
              <w:divBdr>
                <w:top w:val="none" w:sz="0" w:space="0" w:color="auto"/>
                <w:left w:val="none" w:sz="0" w:space="0" w:color="auto"/>
                <w:bottom w:val="none" w:sz="0" w:space="0" w:color="auto"/>
                <w:right w:val="none" w:sz="0" w:space="0" w:color="auto"/>
              </w:divBdr>
              <w:divsChild>
                <w:div w:id="1385520858">
                  <w:marLeft w:val="0"/>
                  <w:marRight w:val="0"/>
                  <w:marTop w:val="0"/>
                  <w:marBottom w:val="0"/>
                  <w:divBdr>
                    <w:top w:val="none" w:sz="0" w:space="0" w:color="auto"/>
                    <w:left w:val="none" w:sz="0" w:space="0" w:color="auto"/>
                    <w:bottom w:val="none" w:sz="0" w:space="0" w:color="auto"/>
                    <w:right w:val="none" w:sz="0" w:space="0" w:color="auto"/>
                  </w:divBdr>
                </w:div>
              </w:divsChild>
            </w:div>
            <w:div w:id="1877573430">
              <w:marLeft w:val="0"/>
              <w:marRight w:val="0"/>
              <w:marTop w:val="0"/>
              <w:marBottom w:val="0"/>
              <w:divBdr>
                <w:top w:val="none" w:sz="0" w:space="0" w:color="auto"/>
                <w:left w:val="none" w:sz="0" w:space="0" w:color="auto"/>
                <w:bottom w:val="none" w:sz="0" w:space="0" w:color="auto"/>
                <w:right w:val="none" w:sz="0" w:space="0" w:color="auto"/>
              </w:divBdr>
              <w:divsChild>
                <w:div w:id="1433210333">
                  <w:marLeft w:val="0"/>
                  <w:marRight w:val="0"/>
                  <w:marTop w:val="0"/>
                  <w:marBottom w:val="0"/>
                  <w:divBdr>
                    <w:top w:val="none" w:sz="0" w:space="0" w:color="auto"/>
                    <w:left w:val="none" w:sz="0" w:space="0" w:color="auto"/>
                    <w:bottom w:val="none" w:sz="0" w:space="0" w:color="auto"/>
                    <w:right w:val="none" w:sz="0" w:space="0" w:color="auto"/>
                  </w:divBdr>
                </w:div>
              </w:divsChild>
            </w:div>
            <w:div w:id="2001889665">
              <w:marLeft w:val="0"/>
              <w:marRight w:val="0"/>
              <w:marTop w:val="0"/>
              <w:marBottom w:val="0"/>
              <w:divBdr>
                <w:top w:val="none" w:sz="0" w:space="0" w:color="auto"/>
                <w:left w:val="none" w:sz="0" w:space="0" w:color="auto"/>
                <w:bottom w:val="none" w:sz="0" w:space="0" w:color="auto"/>
                <w:right w:val="none" w:sz="0" w:space="0" w:color="auto"/>
              </w:divBdr>
              <w:divsChild>
                <w:div w:id="649601633">
                  <w:marLeft w:val="0"/>
                  <w:marRight w:val="0"/>
                  <w:marTop w:val="0"/>
                  <w:marBottom w:val="0"/>
                  <w:divBdr>
                    <w:top w:val="none" w:sz="0" w:space="0" w:color="auto"/>
                    <w:left w:val="none" w:sz="0" w:space="0" w:color="auto"/>
                    <w:bottom w:val="none" w:sz="0" w:space="0" w:color="auto"/>
                    <w:right w:val="none" w:sz="0" w:space="0" w:color="auto"/>
                  </w:divBdr>
                </w:div>
              </w:divsChild>
            </w:div>
            <w:div w:id="2056544879">
              <w:marLeft w:val="0"/>
              <w:marRight w:val="0"/>
              <w:marTop w:val="0"/>
              <w:marBottom w:val="0"/>
              <w:divBdr>
                <w:top w:val="none" w:sz="0" w:space="0" w:color="auto"/>
                <w:left w:val="none" w:sz="0" w:space="0" w:color="auto"/>
                <w:bottom w:val="none" w:sz="0" w:space="0" w:color="auto"/>
                <w:right w:val="none" w:sz="0" w:space="0" w:color="auto"/>
              </w:divBdr>
              <w:divsChild>
                <w:div w:id="1634483554">
                  <w:marLeft w:val="0"/>
                  <w:marRight w:val="0"/>
                  <w:marTop w:val="0"/>
                  <w:marBottom w:val="0"/>
                  <w:divBdr>
                    <w:top w:val="none" w:sz="0" w:space="0" w:color="auto"/>
                    <w:left w:val="none" w:sz="0" w:space="0" w:color="auto"/>
                    <w:bottom w:val="none" w:sz="0" w:space="0" w:color="auto"/>
                    <w:right w:val="none" w:sz="0" w:space="0" w:color="auto"/>
                  </w:divBdr>
                </w:div>
              </w:divsChild>
            </w:div>
            <w:div w:id="2088647760">
              <w:marLeft w:val="0"/>
              <w:marRight w:val="0"/>
              <w:marTop w:val="0"/>
              <w:marBottom w:val="0"/>
              <w:divBdr>
                <w:top w:val="none" w:sz="0" w:space="0" w:color="auto"/>
                <w:left w:val="none" w:sz="0" w:space="0" w:color="auto"/>
                <w:bottom w:val="none" w:sz="0" w:space="0" w:color="auto"/>
                <w:right w:val="none" w:sz="0" w:space="0" w:color="auto"/>
              </w:divBdr>
              <w:divsChild>
                <w:div w:id="292903398">
                  <w:marLeft w:val="0"/>
                  <w:marRight w:val="0"/>
                  <w:marTop w:val="0"/>
                  <w:marBottom w:val="0"/>
                  <w:divBdr>
                    <w:top w:val="none" w:sz="0" w:space="0" w:color="auto"/>
                    <w:left w:val="none" w:sz="0" w:space="0" w:color="auto"/>
                    <w:bottom w:val="none" w:sz="0" w:space="0" w:color="auto"/>
                    <w:right w:val="none" w:sz="0" w:space="0" w:color="auto"/>
                  </w:divBdr>
                </w:div>
              </w:divsChild>
            </w:div>
            <w:div w:id="2113932649">
              <w:marLeft w:val="0"/>
              <w:marRight w:val="0"/>
              <w:marTop w:val="0"/>
              <w:marBottom w:val="0"/>
              <w:divBdr>
                <w:top w:val="none" w:sz="0" w:space="0" w:color="auto"/>
                <w:left w:val="none" w:sz="0" w:space="0" w:color="auto"/>
                <w:bottom w:val="none" w:sz="0" w:space="0" w:color="auto"/>
                <w:right w:val="none" w:sz="0" w:space="0" w:color="auto"/>
              </w:divBdr>
              <w:divsChild>
                <w:div w:id="73651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40360">
          <w:marLeft w:val="0"/>
          <w:marRight w:val="0"/>
          <w:marTop w:val="0"/>
          <w:marBottom w:val="0"/>
          <w:divBdr>
            <w:top w:val="none" w:sz="0" w:space="0" w:color="auto"/>
            <w:left w:val="none" w:sz="0" w:space="0" w:color="auto"/>
            <w:bottom w:val="none" w:sz="0" w:space="0" w:color="auto"/>
            <w:right w:val="none" w:sz="0" w:space="0" w:color="auto"/>
          </w:divBdr>
        </w:div>
        <w:div w:id="331301642">
          <w:marLeft w:val="0"/>
          <w:marRight w:val="0"/>
          <w:marTop w:val="0"/>
          <w:marBottom w:val="0"/>
          <w:divBdr>
            <w:top w:val="none" w:sz="0" w:space="0" w:color="auto"/>
            <w:left w:val="none" w:sz="0" w:space="0" w:color="auto"/>
            <w:bottom w:val="none" w:sz="0" w:space="0" w:color="auto"/>
            <w:right w:val="none" w:sz="0" w:space="0" w:color="auto"/>
          </w:divBdr>
        </w:div>
        <w:div w:id="876282114">
          <w:marLeft w:val="0"/>
          <w:marRight w:val="0"/>
          <w:marTop w:val="0"/>
          <w:marBottom w:val="0"/>
          <w:divBdr>
            <w:top w:val="none" w:sz="0" w:space="0" w:color="auto"/>
            <w:left w:val="none" w:sz="0" w:space="0" w:color="auto"/>
            <w:bottom w:val="none" w:sz="0" w:space="0" w:color="auto"/>
            <w:right w:val="none" w:sz="0" w:space="0" w:color="auto"/>
          </w:divBdr>
        </w:div>
        <w:div w:id="1088967203">
          <w:marLeft w:val="0"/>
          <w:marRight w:val="0"/>
          <w:marTop w:val="0"/>
          <w:marBottom w:val="0"/>
          <w:divBdr>
            <w:top w:val="none" w:sz="0" w:space="0" w:color="auto"/>
            <w:left w:val="none" w:sz="0" w:space="0" w:color="auto"/>
            <w:bottom w:val="none" w:sz="0" w:space="0" w:color="auto"/>
            <w:right w:val="none" w:sz="0" w:space="0" w:color="auto"/>
          </w:divBdr>
        </w:div>
        <w:div w:id="1242719301">
          <w:marLeft w:val="0"/>
          <w:marRight w:val="0"/>
          <w:marTop w:val="0"/>
          <w:marBottom w:val="0"/>
          <w:divBdr>
            <w:top w:val="none" w:sz="0" w:space="0" w:color="auto"/>
            <w:left w:val="none" w:sz="0" w:space="0" w:color="auto"/>
            <w:bottom w:val="none" w:sz="0" w:space="0" w:color="auto"/>
            <w:right w:val="none" w:sz="0" w:space="0" w:color="auto"/>
          </w:divBdr>
        </w:div>
        <w:div w:id="1426923741">
          <w:marLeft w:val="0"/>
          <w:marRight w:val="0"/>
          <w:marTop w:val="0"/>
          <w:marBottom w:val="0"/>
          <w:divBdr>
            <w:top w:val="none" w:sz="0" w:space="0" w:color="auto"/>
            <w:left w:val="none" w:sz="0" w:space="0" w:color="auto"/>
            <w:bottom w:val="none" w:sz="0" w:space="0" w:color="auto"/>
            <w:right w:val="none" w:sz="0" w:space="0" w:color="auto"/>
          </w:divBdr>
        </w:div>
        <w:div w:id="1815563634">
          <w:marLeft w:val="0"/>
          <w:marRight w:val="0"/>
          <w:marTop w:val="0"/>
          <w:marBottom w:val="0"/>
          <w:divBdr>
            <w:top w:val="none" w:sz="0" w:space="0" w:color="auto"/>
            <w:left w:val="none" w:sz="0" w:space="0" w:color="auto"/>
            <w:bottom w:val="none" w:sz="0" w:space="0" w:color="auto"/>
            <w:right w:val="none" w:sz="0" w:space="0" w:color="auto"/>
          </w:divBdr>
        </w:div>
      </w:divsChild>
    </w:div>
    <w:div w:id="1401947188">
      <w:bodyDiv w:val="1"/>
      <w:marLeft w:val="0"/>
      <w:marRight w:val="0"/>
      <w:marTop w:val="0"/>
      <w:marBottom w:val="0"/>
      <w:divBdr>
        <w:top w:val="none" w:sz="0" w:space="0" w:color="auto"/>
        <w:left w:val="none" w:sz="0" w:space="0" w:color="auto"/>
        <w:bottom w:val="none" w:sz="0" w:space="0" w:color="auto"/>
        <w:right w:val="none" w:sz="0" w:space="0" w:color="auto"/>
      </w:divBdr>
    </w:div>
    <w:div w:id="1860124263">
      <w:bodyDiv w:val="1"/>
      <w:marLeft w:val="0"/>
      <w:marRight w:val="0"/>
      <w:marTop w:val="0"/>
      <w:marBottom w:val="0"/>
      <w:divBdr>
        <w:top w:val="none" w:sz="0" w:space="0" w:color="auto"/>
        <w:left w:val="none" w:sz="0" w:space="0" w:color="auto"/>
        <w:bottom w:val="none" w:sz="0" w:space="0" w:color="auto"/>
        <w:right w:val="none" w:sz="0" w:space="0" w:color="auto"/>
      </w:divBdr>
      <w:divsChild>
        <w:div w:id="62682087">
          <w:marLeft w:val="0"/>
          <w:marRight w:val="0"/>
          <w:marTop w:val="0"/>
          <w:marBottom w:val="0"/>
          <w:divBdr>
            <w:top w:val="none" w:sz="0" w:space="0" w:color="auto"/>
            <w:left w:val="none" w:sz="0" w:space="0" w:color="auto"/>
            <w:bottom w:val="none" w:sz="0" w:space="0" w:color="auto"/>
            <w:right w:val="none" w:sz="0" w:space="0" w:color="auto"/>
          </w:divBdr>
          <w:divsChild>
            <w:div w:id="875770977">
              <w:marLeft w:val="0"/>
              <w:marRight w:val="0"/>
              <w:marTop w:val="0"/>
              <w:marBottom w:val="0"/>
              <w:divBdr>
                <w:top w:val="none" w:sz="0" w:space="0" w:color="auto"/>
                <w:left w:val="none" w:sz="0" w:space="0" w:color="auto"/>
                <w:bottom w:val="none" w:sz="0" w:space="0" w:color="auto"/>
                <w:right w:val="none" w:sz="0" w:space="0" w:color="auto"/>
              </w:divBdr>
            </w:div>
          </w:divsChild>
        </w:div>
        <w:div w:id="82995787">
          <w:marLeft w:val="0"/>
          <w:marRight w:val="0"/>
          <w:marTop w:val="0"/>
          <w:marBottom w:val="0"/>
          <w:divBdr>
            <w:top w:val="none" w:sz="0" w:space="0" w:color="auto"/>
            <w:left w:val="none" w:sz="0" w:space="0" w:color="auto"/>
            <w:bottom w:val="none" w:sz="0" w:space="0" w:color="auto"/>
            <w:right w:val="none" w:sz="0" w:space="0" w:color="auto"/>
          </w:divBdr>
          <w:divsChild>
            <w:div w:id="296961045">
              <w:marLeft w:val="0"/>
              <w:marRight w:val="0"/>
              <w:marTop w:val="0"/>
              <w:marBottom w:val="0"/>
              <w:divBdr>
                <w:top w:val="none" w:sz="0" w:space="0" w:color="auto"/>
                <w:left w:val="none" w:sz="0" w:space="0" w:color="auto"/>
                <w:bottom w:val="none" w:sz="0" w:space="0" w:color="auto"/>
                <w:right w:val="none" w:sz="0" w:space="0" w:color="auto"/>
              </w:divBdr>
            </w:div>
          </w:divsChild>
        </w:div>
        <w:div w:id="125857850">
          <w:marLeft w:val="0"/>
          <w:marRight w:val="0"/>
          <w:marTop w:val="0"/>
          <w:marBottom w:val="0"/>
          <w:divBdr>
            <w:top w:val="none" w:sz="0" w:space="0" w:color="auto"/>
            <w:left w:val="none" w:sz="0" w:space="0" w:color="auto"/>
            <w:bottom w:val="none" w:sz="0" w:space="0" w:color="auto"/>
            <w:right w:val="none" w:sz="0" w:space="0" w:color="auto"/>
          </w:divBdr>
          <w:divsChild>
            <w:div w:id="1994285620">
              <w:marLeft w:val="0"/>
              <w:marRight w:val="0"/>
              <w:marTop w:val="0"/>
              <w:marBottom w:val="0"/>
              <w:divBdr>
                <w:top w:val="none" w:sz="0" w:space="0" w:color="auto"/>
                <w:left w:val="none" w:sz="0" w:space="0" w:color="auto"/>
                <w:bottom w:val="none" w:sz="0" w:space="0" w:color="auto"/>
                <w:right w:val="none" w:sz="0" w:space="0" w:color="auto"/>
              </w:divBdr>
            </w:div>
          </w:divsChild>
        </w:div>
        <w:div w:id="144276912">
          <w:marLeft w:val="0"/>
          <w:marRight w:val="0"/>
          <w:marTop w:val="0"/>
          <w:marBottom w:val="0"/>
          <w:divBdr>
            <w:top w:val="none" w:sz="0" w:space="0" w:color="auto"/>
            <w:left w:val="none" w:sz="0" w:space="0" w:color="auto"/>
            <w:bottom w:val="none" w:sz="0" w:space="0" w:color="auto"/>
            <w:right w:val="none" w:sz="0" w:space="0" w:color="auto"/>
          </w:divBdr>
          <w:divsChild>
            <w:div w:id="1271470529">
              <w:marLeft w:val="0"/>
              <w:marRight w:val="0"/>
              <w:marTop w:val="0"/>
              <w:marBottom w:val="0"/>
              <w:divBdr>
                <w:top w:val="none" w:sz="0" w:space="0" w:color="auto"/>
                <w:left w:val="none" w:sz="0" w:space="0" w:color="auto"/>
                <w:bottom w:val="none" w:sz="0" w:space="0" w:color="auto"/>
                <w:right w:val="none" w:sz="0" w:space="0" w:color="auto"/>
              </w:divBdr>
            </w:div>
          </w:divsChild>
        </w:div>
        <w:div w:id="154347808">
          <w:marLeft w:val="0"/>
          <w:marRight w:val="0"/>
          <w:marTop w:val="0"/>
          <w:marBottom w:val="0"/>
          <w:divBdr>
            <w:top w:val="none" w:sz="0" w:space="0" w:color="auto"/>
            <w:left w:val="none" w:sz="0" w:space="0" w:color="auto"/>
            <w:bottom w:val="none" w:sz="0" w:space="0" w:color="auto"/>
            <w:right w:val="none" w:sz="0" w:space="0" w:color="auto"/>
          </w:divBdr>
          <w:divsChild>
            <w:div w:id="1844078703">
              <w:marLeft w:val="0"/>
              <w:marRight w:val="0"/>
              <w:marTop w:val="0"/>
              <w:marBottom w:val="0"/>
              <w:divBdr>
                <w:top w:val="none" w:sz="0" w:space="0" w:color="auto"/>
                <w:left w:val="none" w:sz="0" w:space="0" w:color="auto"/>
                <w:bottom w:val="none" w:sz="0" w:space="0" w:color="auto"/>
                <w:right w:val="none" w:sz="0" w:space="0" w:color="auto"/>
              </w:divBdr>
            </w:div>
          </w:divsChild>
        </w:div>
        <w:div w:id="183058681">
          <w:marLeft w:val="0"/>
          <w:marRight w:val="0"/>
          <w:marTop w:val="0"/>
          <w:marBottom w:val="0"/>
          <w:divBdr>
            <w:top w:val="none" w:sz="0" w:space="0" w:color="auto"/>
            <w:left w:val="none" w:sz="0" w:space="0" w:color="auto"/>
            <w:bottom w:val="none" w:sz="0" w:space="0" w:color="auto"/>
            <w:right w:val="none" w:sz="0" w:space="0" w:color="auto"/>
          </w:divBdr>
          <w:divsChild>
            <w:div w:id="353851315">
              <w:marLeft w:val="0"/>
              <w:marRight w:val="0"/>
              <w:marTop w:val="0"/>
              <w:marBottom w:val="0"/>
              <w:divBdr>
                <w:top w:val="none" w:sz="0" w:space="0" w:color="auto"/>
                <w:left w:val="none" w:sz="0" w:space="0" w:color="auto"/>
                <w:bottom w:val="none" w:sz="0" w:space="0" w:color="auto"/>
                <w:right w:val="none" w:sz="0" w:space="0" w:color="auto"/>
              </w:divBdr>
            </w:div>
          </w:divsChild>
        </w:div>
        <w:div w:id="247616175">
          <w:marLeft w:val="0"/>
          <w:marRight w:val="0"/>
          <w:marTop w:val="0"/>
          <w:marBottom w:val="0"/>
          <w:divBdr>
            <w:top w:val="none" w:sz="0" w:space="0" w:color="auto"/>
            <w:left w:val="none" w:sz="0" w:space="0" w:color="auto"/>
            <w:bottom w:val="none" w:sz="0" w:space="0" w:color="auto"/>
            <w:right w:val="none" w:sz="0" w:space="0" w:color="auto"/>
          </w:divBdr>
          <w:divsChild>
            <w:div w:id="431903834">
              <w:marLeft w:val="0"/>
              <w:marRight w:val="0"/>
              <w:marTop w:val="0"/>
              <w:marBottom w:val="0"/>
              <w:divBdr>
                <w:top w:val="none" w:sz="0" w:space="0" w:color="auto"/>
                <w:left w:val="none" w:sz="0" w:space="0" w:color="auto"/>
                <w:bottom w:val="none" w:sz="0" w:space="0" w:color="auto"/>
                <w:right w:val="none" w:sz="0" w:space="0" w:color="auto"/>
              </w:divBdr>
            </w:div>
          </w:divsChild>
        </w:div>
        <w:div w:id="335034428">
          <w:marLeft w:val="0"/>
          <w:marRight w:val="0"/>
          <w:marTop w:val="0"/>
          <w:marBottom w:val="0"/>
          <w:divBdr>
            <w:top w:val="none" w:sz="0" w:space="0" w:color="auto"/>
            <w:left w:val="none" w:sz="0" w:space="0" w:color="auto"/>
            <w:bottom w:val="none" w:sz="0" w:space="0" w:color="auto"/>
            <w:right w:val="none" w:sz="0" w:space="0" w:color="auto"/>
          </w:divBdr>
          <w:divsChild>
            <w:div w:id="384715695">
              <w:marLeft w:val="0"/>
              <w:marRight w:val="0"/>
              <w:marTop w:val="0"/>
              <w:marBottom w:val="0"/>
              <w:divBdr>
                <w:top w:val="none" w:sz="0" w:space="0" w:color="auto"/>
                <w:left w:val="none" w:sz="0" w:space="0" w:color="auto"/>
                <w:bottom w:val="none" w:sz="0" w:space="0" w:color="auto"/>
                <w:right w:val="none" w:sz="0" w:space="0" w:color="auto"/>
              </w:divBdr>
            </w:div>
          </w:divsChild>
        </w:div>
        <w:div w:id="555049959">
          <w:marLeft w:val="0"/>
          <w:marRight w:val="0"/>
          <w:marTop w:val="0"/>
          <w:marBottom w:val="0"/>
          <w:divBdr>
            <w:top w:val="none" w:sz="0" w:space="0" w:color="auto"/>
            <w:left w:val="none" w:sz="0" w:space="0" w:color="auto"/>
            <w:bottom w:val="none" w:sz="0" w:space="0" w:color="auto"/>
            <w:right w:val="none" w:sz="0" w:space="0" w:color="auto"/>
          </w:divBdr>
          <w:divsChild>
            <w:div w:id="372704123">
              <w:marLeft w:val="0"/>
              <w:marRight w:val="0"/>
              <w:marTop w:val="0"/>
              <w:marBottom w:val="0"/>
              <w:divBdr>
                <w:top w:val="none" w:sz="0" w:space="0" w:color="auto"/>
                <w:left w:val="none" w:sz="0" w:space="0" w:color="auto"/>
                <w:bottom w:val="none" w:sz="0" w:space="0" w:color="auto"/>
                <w:right w:val="none" w:sz="0" w:space="0" w:color="auto"/>
              </w:divBdr>
            </w:div>
          </w:divsChild>
        </w:div>
        <w:div w:id="660037129">
          <w:marLeft w:val="0"/>
          <w:marRight w:val="0"/>
          <w:marTop w:val="0"/>
          <w:marBottom w:val="0"/>
          <w:divBdr>
            <w:top w:val="none" w:sz="0" w:space="0" w:color="auto"/>
            <w:left w:val="none" w:sz="0" w:space="0" w:color="auto"/>
            <w:bottom w:val="none" w:sz="0" w:space="0" w:color="auto"/>
            <w:right w:val="none" w:sz="0" w:space="0" w:color="auto"/>
          </w:divBdr>
          <w:divsChild>
            <w:div w:id="192184306">
              <w:marLeft w:val="0"/>
              <w:marRight w:val="0"/>
              <w:marTop w:val="0"/>
              <w:marBottom w:val="0"/>
              <w:divBdr>
                <w:top w:val="none" w:sz="0" w:space="0" w:color="auto"/>
                <w:left w:val="none" w:sz="0" w:space="0" w:color="auto"/>
                <w:bottom w:val="none" w:sz="0" w:space="0" w:color="auto"/>
                <w:right w:val="none" w:sz="0" w:space="0" w:color="auto"/>
              </w:divBdr>
            </w:div>
          </w:divsChild>
        </w:div>
        <w:div w:id="691688441">
          <w:marLeft w:val="0"/>
          <w:marRight w:val="0"/>
          <w:marTop w:val="0"/>
          <w:marBottom w:val="0"/>
          <w:divBdr>
            <w:top w:val="none" w:sz="0" w:space="0" w:color="auto"/>
            <w:left w:val="none" w:sz="0" w:space="0" w:color="auto"/>
            <w:bottom w:val="none" w:sz="0" w:space="0" w:color="auto"/>
            <w:right w:val="none" w:sz="0" w:space="0" w:color="auto"/>
          </w:divBdr>
          <w:divsChild>
            <w:div w:id="1065108733">
              <w:marLeft w:val="0"/>
              <w:marRight w:val="0"/>
              <w:marTop w:val="0"/>
              <w:marBottom w:val="0"/>
              <w:divBdr>
                <w:top w:val="none" w:sz="0" w:space="0" w:color="auto"/>
                <w:left w:val="none" w:sz="0" w:space="0" w:color="auto"/>
                <w:bottom w:val="none" w:sz="0" w:space="0" w:color="auto"/>
                <w:right w:val="none" w:sz="0" w:space="0" w:color="auto"/>
              </w:divBdr>
            </w:div>
          </w:divsChild>
        </w:div>
        <w:div w:id="773747804">
          <w:marLeft w:val="0"/>
          <w:marRight w:val="0"/>
          <w:marTop w:val="0"/>
          <w:marBottom w:val="0"/>
          <w:divBdr>
            <w:top w:val="none" w:sz="0" w:space="0" w:color="auto"/>
            <w:left w:val="none" w:sz="0" w:space="0" w:color="auto"/>
            <w:bottom w:val="none" w:sz="0" w:space="0" w:color="auto"/>
            <w:right w:val="none" w:sz="0" w:space="0" w:color="auto"/>
          </w:divBdr>
          <w:divsChild>
            <w:div w:id="107479468">
              <w:marLeft w:val="0"/>
              <w:marRight w:val="0"/>
              <w:marTop w:val="0"/>
              <w:marBottom w:val="0"/>
              <w:divBdr>
                <w:top w:val="none" w:sz="0" w:space="0" w:color="auto"/>
                <w:left w:val="none" w:sz="0" w:space="0" w:color="auto"/>
                <w:bottom w:val="none" w:sz="0" w:space="0" w:color="auto"/>
                <w:right w:val="none" w:sz="0" w:space="0" w:color="auto"/>
              </w:divBdr>
            </w:div>
          </w:divsChild>
        </w:div>
        <w:div w:id="873152926">
          <w:marLeft w:val="0"/>
          <w:marRight w:val="0"/>
          <w:marTop w:val="0"/>
          <w:marBottom w:val="0"/>
          <w:divBdr>
            <w:top w:val="none" w:sz="0" w:space="0" w:color="auto"/>
            <w:left w:val="none" w:sz="0" w:space="0" w:color="auto"/>
            <w:bottom w:val="none" w:sz="0" w:space="0" w:color="auto"/>
            <w:right w:val="none" w:sz="0" w:space="0" w:color="auto"/>
          </w:divBdr>
          <w:divsChild>
            <w:div w:id="1023092240">
              <w:marLeft w:val="0"/>
              <w:marRight w:val="0"/>
              <w:marTop w:val="0"/>
              <w:marBottom w:val="0"/>
              <w:divBdr>
                <w:top w:val="none" w:sz="0" w:space="0" w:color="auto"/>
                <w:left w:val="none" w:sz="0" w:space="0" w:color="auto"/>
                <w:bottom w:val="none" w:sz="0" w:space="0" w:color="auto"/>
                <w:right w:val="none" w:sz="0" w:space="0" w:color="auto"/>
              </w:divBdr>
            </w:div>
          </w:divsChild>
        </w:div>
        <w:div w:id="875658666">
          <w:marLeft w:val="0"/>
          <w:marRight w:val="0"/>
          <w:marTop w:val="0"/>
          <w:marBottom w:val="0"/>
          <w:divBdr>
            <w:top w:val="none" w:sz="0" w:space="0" w:color="auto"/>
            <w:left w:val="none" w:sz="0" w:space="0" w:color="auto"/>
            <w:bottom w:val="none" w:sz="0" w:space="0" w:color="auto"/>
            <w:right w:val="none" w:sz="0" w:space="0" w:color="auto"/>
          </w:divBdr>
          <w:divsChild>
            <w:div w:id="414478295">
              <w:marLeft w:val="0"/>
              <w:marRight w:val="0"/>
              <w:marTop w:val="0"/>
              <w:marBottom w:val="0"/>
              <w:divBdr>
                <w:top w:val="none" w:sz="0" w:space="0" w:color="auto"/>
                <w:left w:val="none" w:sz="0" w:space="0" w:color="auto"/>
                <w:bottom w:val="none" w:sz="0" w:space="0" w:color="auto"/>
                <w:right w:val="none" w:sz="0" w:space="0" w:color="auto"/>
              </w:divBdr>
            </w:div>
          </w:divsChild>
        </w:div>
        <w:div w:id="893389795">
          <w:marLeft w:val="0"/>
          <w:marRight w:val="0"/>
          <w:marTop w:val="0"/>
          <w:marBottom w:val="0"/>
          <w:divBdr>
            <w:top w:val="none" w:sz="0" w:space="0" w:color="auto"/>
            <w:left w:val="none" w:sz="0" w:space="0" w:color="auto"/>
            <w:bottom w:val="none" w:sz="0" w:space="0" w:color="auto"/>
            <w:right w:val="none" w:sz="0" w:space="0" w:color="auto"/>
          </w:divBdr>
          <w:divsChild>
            <w:div w:id="1941988921">
              <w:marLeft w:val="0"/>
              <w:marRight w:val="0"/>
              <w:marTop w:val="0"/>
              <w:marBottom w:val="0"/>
              <w:divBdr>
                <w:top w:val="none" w:sz="0" w:space="0" w:color="auto"/>
                <w:left w:val="none" w:sz="0" w:space="0" w:color="auto"/>
                <w:bottom w:val="none" w:sz="0" w:space="0" w:color="auto"/>
                <w:right w:val="none" w:sz="0" w:space="0" w:color="auto"/>
              </w:divBdr>
            </w:div>
          </w:divsChild>
        </w:div>
        <w:div w:id="951593334">
          <w:marLeft w:val="0"/>
          <w:marRight w:val="0"/>
          <w:marTop w:val="0"/>
          <w:marBottom w:val="0"/>
          <w:divBdr>
            <w:top w:val="none" w:sz="0" w:space="0" w:color="auto"/>
            <w:left w:val="none" w:sz="0" w:space="0" w:color="auto"/>
            <w:bottom w:val="none" w:sz="0" w:space="0" w:color="auto"/>
            <w:right w:val="none" w:sz="0" w:space="0" w:color="auto"/>
          </w:divBdr>
          <w:divsChild>
            <w:div w:id="305010624">
              <w:marLeft w:val="0"/>
              <w:marRight w:val="0"/>
              <w:marTop w:val="0"/>
              <w:marBottom w:val="0"/>
              <w:divBdr>
                <w:top w:val="none" w:sz="0" w:space="0" w:color="auto"/>
                <w:left w:val="none" w:sz="0" w:space="0" w:color="auto"/>
                <w:bottom w:val="none" w:sz="0" w:space="0" w:color="auto"/>
                <w:right w:val="none" w:sz="0" w:space="0" w:color="auto"/>
              </w:divBdr>
            </w:div>
          </w:divsChild>
        </w:div>
        <w:div w:id="972633319">
          <w:marLeft w:val="0"/>
          <w:marRight w:val="0"/>
          <w:marTop w:val="0"/>
          <w:marBottom w:val="0"/>
          <w:divBdr>
            <w:top w:val="none" w:sz="0" w:space="0" w:color="auto"/>
            <w:left w:val="none" w:sz="0" w:space="0" w:color="auto"/>
            <w:bottom w:val="none" w:sz="0" w:space="0" w:color="auto"/>
            <w:right w:val="none" w:sz="0" w:space="0" w:color="auto"/>
          </w:divBdr>
          <w:divsChild>
            <w:div w:id="507602355">
              <w:marLeft w:val="0"/>
              <w:marRight w:val="0"/>
              <w:marTop w:val="0"/>
              <w:marBottom w:val="0"/>
              <w:divBdr>
                <w:top w:val="none" w:sz="0" w:space="0" w:color="auto"/>
                <w:left w:val="none" w:sz="0" w:space="0" w:color="auto"/>
                <w:bottom w:val="none" w:sz="0" w:space="0" w:color="auto"/>
                <w:right w:val="none" w:sz="0" w:space="0" w:color="auto"/>
              </w:divBdr>
            </w:div>
          </w:divsChild>
        </w:div>
        <w:div w:id="1094548357">
          <w:marLeft w:val="0"/>
          <w:marRight w:val="0"/>
          <w:marTop w:val="0"/>
          <w:marBottom w:val="0"/>
          <w:divBdr>
            <w:top w:val="none" w:sz="0" w:space="0" w:color="auto"/>
            <w:left w:val="none" w:sz="0" w:space="0" w:color="auto"/>
            <w:bottom w:val="none" w:sz="0" w:space="0" w:color="auto"/>
            <w:right w:val="none" w:sz="0" w:space="0" w:color="auto"/>
          </w:divBdr>
          <w:divsChild>
            <w:div w:id="597760020">
              <w:marLeft w:val="0"/>
              <w:marRight w:val="0"/>
              <w:marTop w:val="0"/>
              <w:marBottom w:val="0"/>
              <w:divBdr>
                <w:top w:val="none" w:sz="0" w:space="0" w:color="auto"/>
                <w:left w:val="none" w:sz="0" w:space="0" w:color="auto"/>
                <w:bottom w:val="none" w:sz="0" w:space="0" w:color="auto"/>
                <w:right w:val="none" w:sz="0" w:space="0" w:color="auto"/>
              </w:divBdr>
            </w:div>
          </w:divsChild>
        </w:div>
        <w:div w:id="1135758592">
          <w:marLeft w:val="0"/>
          <w:marRight w:val="0"/>
          <w:marTop w:val="0"/>
          <w:marBottom w:val="0"/>
          <w:divBdr>
            <w:top w:val="none" w:sz="0" w:space="0" w:color="auto"/>
            <w:left w:val="none" w:sz="0" w:space="0" w:color="auto"/>
            <w:bottom w:val="none" w:sz="0" w:space="0" w:color="auto"/>
            <w:right w:val="none" w:sz="0" w:space="0" w:color="auto"/>
          </w:divBdr>
          <w:divsChild>
            <w:div w:id="299652694">
              <w:marLeft w:val="0"/>
              <w:marRight w:val="0"/>
              <w:marTop w:val="0"/>
              <w:marBottom w:val="0"/>
              <w:divBdr>
                <w:top w:val="none" w:sz="0" w:space="0" w:color="auto"/>
                <w:left w:val="none" w:sz="0" w:space="0" w:color="auto"/>
                <w:bottom w:val="none" w:sz="0" w:space="0" w:color="auto"/>
                <w:right w:val="none" w:sz="0" w:space="0" w:color="auto"/>
              </w:divBdr>
            </w:div>
          </w:divsChild>
        </w:div>
        <w:div w:id="1151486614">
          <w:marLeft w:val="0"/>
          <w:marRight w:val="0"/>
          <w:marTop w:val="0"/>
          <w:marBottom w:val="0"/>
          <w:divBdr>
            <w:top w:val="none" w:sz="0" w:space="0" w:color="auto"/>
            <w:left w:val="none" w:sz="0" w:space="0" w:color="auto"/>
            <w:bottom w:val="none" w:sz="0" w:space="0" w:color="auto"/>
            <w:right w:val="none" w:sz="0" w:space="0" w:color="auto"/>
          </w:divBdr>
          <w:divsChild>
            <w:div w:id="1004287228">
              <w:marLeft w:val="0"/>
              <w:marRight w:val="0"/>
              <w:marTop w:val="0"/>
              <w:marBottom w:val="0"/>
              <w:divBdr>
                <w:top w:val="none" w:sz="0" w:space="0" w:color="auto"/>
                <w:left w:val="none" w:sz="0" w:space="0" w:color="auto"/>
                <w:bottom w:val="none" w:sz="0" w:space="0" w:color="auto"/>
                <w:right w:val="none" w:sz="0" w:space="0" w:color="auto"/>
              </w:divBdr>
            </w:div>
          </w:divsChild>
        </w:div>
        <w:div w:id="1167131009">
          <w:marLeft w:val="0"/>
          <w:marRight w:val="0"/>
          <w:marTop w:val="0"/>
          <w:marBottom w:val="0"/>
          <w:divBdr>
            <w:top w:val="none" w:sz="0" w:space="0" w:color="auto"/>
            <w:left w:val="none" w:sz="0" w:space="0" w:color="auto"/>
            <w:bottom w:val="none" w:sz="0" w:space="0" w:color="auto"/>
            <w:right w:val="none" w:sz="0" w:space="0" w:color="auto"/>
          </w:divBdr>
          <w:divsChild>
            <w:div w:id="896739893">
              <w:marLeft w:val="0"/>
              <w:marRight w:val="0"/>
              <w:marTop w:val="0"/>
              <w:marBottom w:val="0"/>
              <w:divBdr>
                <w:top w:val="none" w:sz="0" w:space="0" w:color="auto"/>
                <w:left w:val="none" w:sz="0" w:space="0" w:color="auto"/>
                <w:bottom w:val="none" w:sz="0" w:space="0" w:color="auto"/>
                <w:right w:val="none" w:sz="0" w:space="0" w:color="auto"/>
              </w:divBdr>
            </w:div>
          </w:divsChild>
        </w:div>
        <w:div w:id="1293442960">
          <w:marLeft w:val="0"/>
          <w:marRight w:val="0"/>
          <w:marTop w:val="0"/>
          <w:marBottom w:val="0"/>
          <w:divBdr>
            <w:top w:val="none" w:sz="0" w:space="0" w:color="auto"/>
            <w:left w:val="none" w:sz="0" w:space="0" w:color="auto"/>
            <w:bottom w:val="none" w:sz="0" w:space="0" w:color="auto"/>
            <w:right w:val="none" w:sz="0" w:space="0" w:color="auto"/>
          </w:divBdr>
          <w:divsChild>
            <w:div w:id="882790674">
              <w:marLeft w:val="0"/>
              <w:marRight w:val="0"/>
              <w:marTop w:val="0"/>
              <w:marBottom w:val="0"/>
              <w:divBdr>
                <w:top w:val="none" w:sz="0" w:space="0" w:color="auto"/>
                <w:left w:val="none" w:sz="0" w:space="0" w:color="auto"/>
                <w:bottom w:val="none" w:sz="0" w:space="0" w:color="auto"/>
                <w:right w:val="none" w:sz="0" w:space="0" w:color="auto"/>
              </w:divBdr>
            </w:div>
          </w:divsChild>
        </w:div>
        <w:div w:id="1308827493">
          <w:marLeft w:val="0"/>
          <w:marRight w:val="0"/>
          <w:marTop w:val="0"/>
          <w:marBottom w:val="0"/>
          <w:divBdr>
            <w:top w:val="none" w:sz="0" w:space="0" w:color="auto"/>
            <w:left w:val="none" w:sz="0" w:space="0" w:color="auto"/>
            <w:bottom w:val="none" w:sz="0" w:space="0" w:color="auto"/>
            <w:right w:val="none" w:sz="0" w:space="0" w:color="auto"/>
          </w:divBdr>
          <w:divsChild>
            <w:div w:id="1929189750">
              <w:marLeft w:val="0"/>
              <w:marRight w:val="0"/>
              <w:marTop w:val="0"/>
              <w:marBottom w:val="0"/>
              <w:divBdr>
                <w:top w:val="none" w:sz="0" w:space="0" w:color="auto"/>
                <w:left w:val="none" w:sz="0" w:space="0" w:color="auto"/>
                <w:bottom w:val="none" w:sz="0" w:space="0" w:color="auto"/>
                <w:right w:val="none" w:sz="0" w:space="0" w:color="auto"/>
              </w:divBdr>
            </w:div>
          </w:divsChild>
        </w:div>
        <w:div w:id="1398671681">
          <w:marLeft w:val="0"/>
          <w:marRight w:val="0"/>
          <w:marTop w:val="0"/>
          <w:marBottom w:val="0"/>
          <w:divBdr>
            <w:top w:val="none" w:sz="0" w:space="0" w:color="auto"/>
            <w:left w:val="none" w:sz="0" w:space="0" w:color="auto"/>
            <w:bottom w:val="none" w:sz="0" w:space="0" w:color="auto"/>
            <w:right w:val="none" w:sz="0" w:space="0" w:color="auto"/>
          </w:divBdr>
          <w:divsChild>
            <w:div w:id="1873371989">
              <w:marLeft w:val="0"/>
              <w:marRight w:val="0"/>
              <w:marTop w:val="0"/>
              <w:marBottom w:val="0"/>
              <w:divBdr>
                <w:top w:val="none" w:sz="0" w:space="0" w:color="auto"/>
                <w:left w:val="none" w:sz="0" w:space="0" w:color="auto"/>
                <w:bottom w:val="none" w:sz="0" w:space="0" w:color="auto"/>
                <w:right w:val="none" w:sz="0" w:space="0" w:color="auto"/>
              </w:divBdr>
            </w:div>
          </w:divsChild>
        </w:div>
        <w:div w:id="1402361446">
          <w:marLeft w:val="0"/>
          <w:marRight w:val="0"/>
          <w:marTop w:val="0"/>
          <w:marBottom w:val="0"/>
          <w:divBdr>
            <w:top w:val="none" w:sz="0" w:space="0" w:color="auto"/>
            <w:left w:val="none" w:sz="0" w:space="0" w:color="auto"/>
            <w:bottom w:val="none" w:sz="0" w:space="0" w:color="auto"/>
            <w:right w:val="none" w:sz="0" w:space="0" w:color="auto"/>
          </w:divBdr>
          <w:divsChild>
            <w:div w:id="1029834795">
              <w:marLeft w:val="0"/>
              <w:marRight w:val="0"/>
              <w:marTop w:val="0"/>
              <w:marBottom w:val="0"/>
              <w:divBdr>
                <w:top w:val="none" w:sz="0" w:space="0" w:color="auto"/>
                <w:left w:val="none" w:sz="0" w:space="0" w:color="auto"/>
                <w:bottom w:val="none" w:sz="0" w:space="0" w:color="auto"/>
                <w:right w:val="none" w:sz="0" w:space="0" w:color="auto"/>
              </w:divBdr>
            </w:div>
          </w:divsChild>
        </w:div>
        <w:div w:id="1529222905">
          <w:marLeft w:val="0"/>
          <w:marRight w:val="0"/>
          <w:marTop w:val="0"/>
          <w:marBottom w:val="0"/>
          <w:divBdr>
            <w:top w:val="none" w:sz="0" w:space="0" w:color="auto"/>
            <w:left w:val="none" w:sz="0" w:space="0" w:color="auto"/>
            <w:bottom w:val="none" w:sz="0" w:space="0" w:color="auto"/>
            <w:right w:val="none" w:sz="0" w:space="0" w:color="auto"/>
          </w:divBdr>
          <w:divsChild>
            <w:div w:id="2104914377">
              <w:marLeft w:val="0"/>
              <w:marRight w:val="0"/>
              <w:marTop w:val="0"/>
              <w:marBottom w:val="0"/>
              <w:divBdr>
                <w:top w:val="none" w:sz="0" w:space="0" w:color="auto"/>
                <w:left w:val="none" w:sz="0" w:space="0" w:color="auto"/>
                <w:bottom w:val="none" w:sz="0" w:space="0" w:color="auto"/>
                <w:right w:val="none" w:sz="0" w:space="0" w:color="auto"/>
              </w:divBdr>
            </w:div>
          </w:divsChild>
        </w:div>
        <w:div w:id="1539273962">
          <w:marLeft w:val="0"/>
          <w:marRight w:val="0"/>
          <w:marTop w:val="0"/>
          <w:marBottom w:val="0"/>
          <w:divBdr>
            <w:top w:val="none" w:sz="0" w:space="0" w:color="auto"/>
            <w:left w:val="none" w:sz="0" w:space="0" w:color="auto"/>
            <w:bottom w:val="none" w:sz="0" w:space="0" w:color="auto"/>
            <w:right w:val="none" w:sz="0" w:space="0" w:color="auto"/>
          </w:divBdr>
          <w:divsChild>
            <w:div w:id="558632973">
              <w:marLeft w:val="0"/>
              <w:marRight w:val="0"/>
              <w:marTop w:val="0"/>
              <w:marBottom w:val="0"/>
              <w:divBdr>
                <w:top w:val="none" w:sz="0" w:space="0" w:color="auto"/>
                <w:left w:val="none" w:sz="0" w:space="0" w:color="auto"/>
                <w:bottom w:val="none" w:sz="0" w:space="0" w:color="auto"/>
                <w:right w:val="none" w:sz="0" w:space="0" w:color="auto"/>
              </w:divBdr>
            </w:div>
          </w:divsChild>
        </w:div>
        <w:div w:id="1651783663">
          <w:marLeft w:val="0"/>
          <w:marRight w:val="0"/>
          <w:marTop w:val="0"/>
          <w:marBottom w:val="0"/>
          <w:divBdr>
            <w:top w:val="none" w:sz="0" w:space="0" w:color="auto"/>
            <w:left w:val="none" w:sz="0" w:space="0" w:color="auto"/>
            <w:bottom w:val="none" w:sz="0" w:space="0" w:color="auto"/>
            <w:right w:val="none" w:sz="0" w:space="0" w:color="auto"/>
          </w:divBdr>
          <w:divsChild>
            <w:div w:id="818545957">
              <w:marLeft w:val="0"/>
              <w:marRight w:val="0"/>
              <w:marTop w:val="0"/>
              <w:marBottom w:val="0"/>
              <w:divBdr>
                <w:top w:val="none" w:sz="0" w:space="0" w:color="auto"/>
                <w:left w:val="none" w:sz="0" w:space="0" w:color="auto"/>
                <w:bottom w:val="none" w:sz="0" w:space="0" w:color="auto"/>
                <w:right w:val="none" w:sz="0" w:space="0" w:color="auto"/>
              </w:divBdr>
            </w:div>
          </w:divsChild>
        </w:div>
        <w:div w:id="1661469373">
          <w:marLeft w:val="0"/>
          <w:marRight w:val="0"/>
          <w:marTop w:val="0"/>
          <w:marBottom w:val="0"/>
          <w:divBdr>
            <w:top w:val="none" w:sz="0" w:space="0" w:color="auto"/>
            <w:left w:val="none" w:sz="0" w:space="0" w:color="auto"/>
            <w:bottom w:val="none" w:sz="0" w:space="0" w:color="auto"/>
            <w:right w:val="none" w:sz="0" w:space="0" w:color="auto"/>
          </w:divBdr>
          <w:divsChild>
            <w:div w:id="1951471076">
              <w:marLeft w:val="0"/>
              <w:marRight w:val="0"/>
              <w:marTop w:val="0"/>
              <w:marBottom w:val="0"/>
              <w:divBdr>
                <w:top w:val="none" w:sz="0" w:space="0" w:color="auto"/>
                <w:left w:val="none" w:sz="0" w:space="0" w:color="auto"/>
                <w:bottom w:val="none" w:sz="0" w:space="0" w:color="auto"/>
                <w:right w:val="none" w:sz="0" w:space="0" w:color="auto"/>
              </w:divBdr>
            </w:div>
          </w:divsChild>
        </w:div>
        <w:div w:id="1676230758">
          <w:marLeft w:val="0"/>
          <w:marRight w:val="0"/>
          <w:marTop w:val="0"/>
          <w:marBottom w:val="0"/>
          <w:divBdr>
            <w:top w:val="none" w:sz="0" w:space="0" w:color="auto"/>
            <w:left w:val="none" w:sz="0" w:space="0" w:color="auto"/>
            <w:bottom w:val="none" w:sz="0" w:space="0" w:color="auto"/>
            <w:right w:val="none" w:sz="0" w:space="0" w:color="auto"/>
          </w:divBdr>
          <w:divsChild>
            <w:div w:id="1633485827">
              <w:marLeft w:val="0"/>
              <w:marRight w:val="0"/>
              <w:marTop w:val="0"/>
              <w:marBottom w:val="0"/>
              <w:divBdr>
                <w:top w:val="none" w:sz="0" w:space="0" w:color="auto"/>
                <w:left w:val="none" w:sz="0" w:space="0" w:color="auto"/>
                <w:bottom w:val="none" w:sz="0" w:space="0" w:color="auto"/>
                <w:right w:val="none" w:sz="0" w:space="0" w:color="auto"/>
              </w:divBdr>
            </w:div>
          </w:divsChild>
        </w:div>
        <w:div w:id="1678656264">
          <w:marLeft w:val="0"/>
          <w:marRight w:val="0"/>
          <w:marTop w:val="0"/>
          <w:marBottom w:val="0"/>
          <w:divBdr>
            <w:top w:val="none" w:sz="0" w:space="0" w:color="auto"/>
            <w:left w:val="none" w:sz="0" w:space="0" w:color="auto"/>
            <w:bottom w:val="none" w:sz="0" w:space="0" w:color="auto"/>
            <w:right w:val="none" w:sz="0" w:space="0" w:color="auto"/>
          </w:divBdr>
          <w:divsChild>
            <w:div w:id="1410618840">
              <w:marLeft w:val="0"/>
              <w:marRight w:val="0"/>
              <w:marTop w:val="0"/>
              <w:marBottom w:val="0"/>
              <w:divBdr>
                <w:top w:val="none" w:sz="0" w:space="0" w:color="auto"/>
                <w:left w:val="none" w:sz="0" w:space="0" w:color="auto"/>
                <w:bottom w:val="none" w:sz="0" w:space="0" w:color="auto"/>
                <w:right w:val="none" w:sz="0" w:space="0" w:color="auto"/>
              </w:divBdr>
            </w:div>
          </w:divsChild>
        </w:div>
        <w:div w:id="1690912492">
          <w:marLeft w:val="0"/>
          <w:marRight w:val="0"/>
          <w:marTop w:val="0"/>
          <w:marBottom w:val="0"/>
          <w:divBdr>
            <w:top w:val="none" w:sz="0" w:space="0" w:color="auto"/>
            <w:left w:val="none" w:sz="0" w:space="0" w:color="auto"/>
            <w:bottom w:val="none" w:sz="0" w:space="0" w:color="auto"/>
            <w:right w:val="none" w:sz="0" w:space="0" w:color="auto"/>
          </w:divBdr>
          <w:divsChild>
            <w:div w:id="24183143">
              <w:marLeft w:val="0"/>
              <w:marRight w:val="0"/>
              <w:marTop w:val="0"/>
              <w:marBottom w:val="0"/>
              <w:divBdr>
                <w:top w:val="none" w:sz="0" w:space="0" w:color="auto"/>
                <w:left w:val="none" w:sz="0" w:space="0" w:color="auto"/>
                <w:bottom w:val="none" w:sz="0" w:space="0" w:color="auto"/>
                <w:right w:val="none" w:sz="0" w:space="0" w:color="auto"/>
              </w:divBdr>
            </w:div>
          </w:divsChild>
        </w:div>
        <w:div w:id="1696538339">
          <w:marLeft w:val="0"/>
          <w:marRight w:val="0"/>
          <w:marTop w:val="0"/>
          <w:marBottom w:val="0"/>
          <w:divBdr>
            <w:top w:val="none" w:sz="0" w:space="0" w:color="auto"/>
            <w:left w:val="none" w:sz="0" w:space="0" w:color="auto"/>
            <w:bottom w:val="none" w:sz="0" w:space="0" w:color="auto"/>
            <w:right w:val="none" w:sz="0" w:space="0" w:color="auto"/>
          </w:divBdr>
          <w:divsChild>
            <w:div w:id="1453744227">
              <w:marLeft w:val="0"/>
              <w:marRight w:val="0"/>
              <w:marTop w:val="0"/>
              <w:marBottom w:val="0"/>
              <w:divBdr>
                <w:top w:val="none" w:sz="0" w:space="0" w:color="auto"/>
                <w:left w:val="none" w:sz="0" w:space="0" w:color="auto"/>
                <w:bottom w:val="none" w:sz="0" w:space="0" w:color="auto"/>
                <w:right w:val="none" w:sz="0" w:space="0" w:color="auto"/>
              </w:divBdr>
            </w:div>
          </w:divsChild>
        </w:div>
        <w:div w:id="1734505808">
          <w:marLeft w:val="0"/>
          <w:marRight w:val="0"/>
          <w:marTop w:val="0"/>
          <w:marBottom w:val="0"/>
          <w:divBdr>
            <w:top w:val="none" w:sz="0" w:space="0" w:color="auto"/>
            <w:left w:val="none" w:sz="0" w:space="0" w:color="auto"/>
            <w:bottom w:val="none" w:sz="0" w:space="0" w:color="auto"/>
            <w:right w:val="none" w:sz="0" w:space="0" w:color="auto"/>
          </w:divBdr>
          <w:divsChild>
            <w:div w:id="2044398982">
              <w:marLeft w:val="0"/>
              <w:marRight w:val="0"/>
              <w:marTop w:val="0"/>
              <w:marBottom w:val="0"/>
              <w:divBdr>
                <w:top w:val="none" w:sz="0" w:space="0" w:color="auto"/>
                <w:left w:val="none" w:sz="0" w:space="0" w:color="auto"/>
                <w:bottom w:val="none" w:sz="0" w:space="0" w:color="auto"/>
                <w:right w:val="none" w:sz="0" w:space="0" w:color="auto"/>
              </w:divBdr>
            </w:div>
          </w:divsChild>
        </w:div>
        <w:div w:id="1735155809">
          <w:marLeft w:val="0"/>
          <w:marRight w:val="0"/>
          <w:marTop w:val="0"/>
          <w:marBottom w:val="0"/>
          <w:divBdr>
            <w:top w:val="none" w:sz="0" w:space="0" w:color="auto"/>
            <w:left w:val="none" w:sz="0" w:space="0" w:color="auto"/>
            <w:bottom w:val="none" w:sz="0" w:space="0" w:color="auto"/>
            <w:right w:val="none" w:sz="0" w:space="0" w:color="auto"/>
          </w:divBdr>
          <w:divsChild>
            <w:div w:id="288632751">
              <w:marLeft w:val="0"/>
              <w:marRight w:val="0"/>
              <w:marTop w:val="0"/>
              <w:marBottom w:val="0"/>
              <w:divBdr>
                <w:top w:val="none" w:sz="0" w:space="0" w:color="auto"/>
                <w:left w:val="none" w:sz="0" w:space="0" w:color="auto"/>
                <w:bottom w:val="none" w:sz="0" w:space="0" w:color="auto"/>
                <w:right w:val="none" w:sz="0" w:space="0" w:color="auto"/>
              </w:divBdr>
            </w:div>
          </w:divsChild>
        </w:div>
        <w:div w:id="1787964117">
          <w:marLeft w:val="0"/>
          <w:marRight w:val="0"/>
          <w:marTop w:val="0"/>
          <w:marBottom w:val="0"/>
          <w:divBdr>
            <w:top w:val="none" w:sz="0" w:space="0" w:color="auto"/>
            <w:left w:val="none" w:sz="0" w:space="0" w:color="auto"/>
            <w:bottom w:val="none" w:sz="0" w:space="0" w:color="auto"/>
            <w:right w:val="none" w:sz="0" w:space="0" w:color="auto"/>
          </w:divBdr>
          <w:divsChild>
            <w:div w:id="17897530">
              <w:marLeft w:val="0"/>
              <w:marRight w:val="0"/>
              <w:marTop w:val="0"/>
              <w:marBottom w:val="0"/>
              <w:divBdr>
                <w:top w:val="none" w:sz="0" w:space="0" w:color="auto"/>
                <w:left w:val="none" w:sz="0" w:space="0" w:color="auto"/>
                <w:bottom w:val="none" w:sz="0" w:space="0" w:color="auto"/>
                <w:right w:val="none" w:sz="0" w:space="0" w:color="auto"/>
              </w:divBdr>
            </w:div>
          </w:divsChild>
        </w:div>
        <w:div w:id="1887831711">
          <w:marLeft w:val="0"/>
          <w:marRight w:val="0"/>
          <w:marTop w:val="0"/>
          <w:marBottom w:val="0"/>
          <w:divBdr>
            <w:top w:val="none" w:sz="0" w:space="0" w:color="auto"/>
            <w:left w:val="none" w:sz="0" w:space="0" w:color="auto"/>
            <w:bottom w:val="none" w:sz="0" w:space="0" w:color="auto"/>
            <w:right w:val="none" w:sz="0" w:space="0" w:color="auto"/>
          </w:divBdr>
          <w:divsChild>
            <w:div w:id="2129466596">
              <w:marLeft w:val="0"/>
              <w:marRight w:val="0"/>
              <w:marTop w:val="0"/>
              <w:marBottom w:val="0"/>
              <w:divBdr>
                <w:top w:val="none" w:sz="0" w:space="0" w:color="auto"/>
                <w:left w:val="none" w:sz="0" w:space="0" w:color="auto"/>
                <w:bottom w:val="none" w:sz="0" w:space="0" w:color="auto"/>
                <w:right w:val="none" w:sz="0" w:space="0" w:color="auto"/>
              </w:divBdr>
            </w:div>
          </w:divsChild>
        </w:div>
        <w:div w:id="1923023992">
          <w:marLeft w:val="0"/>
          <w:marRight w:val="0"/>
          <w:marTop w:val="0"/>
          <w:marBottom w:val="0"/>
          <w:divBdr>
            <w:top w:val="none" w:sz="0" w:space="0" w:color="auto"/>
            <w:left w:val="none" w:sz="0" w:space="0" w:color="auto"/>
            <w:bottom w:val="none" w:sz="0" w:space="0" w:color="auto"/>
            <w:right w:val="none" w:sz="0" w:space="0" w:color="auto"/>
          </w:divBdr>
          <w:divsChild>
            <w:div w:id="2030990083">
              <w:marLeft w:val="0"/>
              <w:marRight w:val="0"/>
              <w:marTop w:val="0"/>
              <w:marBottom w:val="0"/>
              <w:divBdr>
                <w:top w:val="none" w:sz="0" w:space="0" w:color="auto"/>
                <w:left w:val="none" w:sz="0" w:space="0" w:color="auto"/>
                <w:bottom w:val="none" w:sz="0" w:space="0" w:color="auto"/>
                <w:right w:val="none" w:sz="0" w:space="0" w:color="auto"/>
              </w:divBdr>
            </w:div>
          </w:divsChild>
        </w:div>
        <w:div w:id="2006664861">
          <w:marLeft w:val="0"/>
          <w:marRight w:val="0"/>
          <w:marTop w:val="0"/>
          <w:marBottom w:val="0"/>
          <w:divBdr>
            <w:top w:val="none" w:sz="0" w:space="0" w:color="auto"/>
            <w:left w:val="none" w:sz="0" w:space="0" w:color="auto"/>
            <w:bottom w:val="none" w:sz="0" w:space="0" w:color="auto"/>
            <w:right w:val="none" w:sz="0" w:space="0" w:color="auto"/>
          </w:divBdr>
          <w:divsChild>
            <w:div w:id="1991905498">
              <w:marLeft w:val="0"/>
              <w:marRight w:val="0"/>
              <w:marTop w:val="0"/>
              <w:marBottom w:val="0"/>
              <w:divBdr>
                <w:top w:val="none" w:sz="0" w:space="0" w:color="auto"/>
                <w:left w:val="none" w:sz="0" w:space="0" w:color="auto"/>
                <w:bottom w:val="none" w:sz="0" w:space="0" w:color="auto"/>
                <w:right w:val="none" w:sz="0" w:space="0" w:color="auto"/>
              </w:divBdr>
            </w:div>
          </w:divsChild>
        </w:div>
        <w:div w:id="2021468819">
          <w:marLeft w:val="0"/>
          <w:marRight w:val="0"/>
          <w:marTop w:val="0"/>
          <w:marBottom w:val="0"/>
          <w:divBdr>
            <w:top w:val="none" w:sz="0" w:space="0" w:color="auto"/>
            <w:left w:val="none" w:sz="0" w:space="0" w:color="auto"/>
            <w:bottom w:val="none" w:sz="0" w:space="0" w:color="auto"/>
            <w:right w:val="none" w:sz="0" w:space="0" w:color="auto"/>
          </w:divBdr>
          <w:divsChild>
            <w:div w:id="2090345257">
              <w:marLeft w:val="0"/>
              <w:marRight w:val="0"/>
              <w:marTop w:val="0"/>
              <w:marBottom w:val="0"/>
              <w:divBdr>
                <w:top w:val="none" w:sz="0" w:space="0" w:color="auto"/>
                <w:left w:val="none" w:sz="0" w:space="0" w:color="auto"/>
                <w:bottom w:val="none" w:sz="0" w:space="0" w:color="auto"/>
                <w:right w:val="none" w:sz="0" w:space="0" w:color="auto"/>
              </w:divBdr>
            </w:div>
          </w:divsChild>
        </w:div>
        <w:div w:id="2113159291">
          <w:marLeft w:val="0"/>
          <w:marRight w:val="0"/>
          <w:marTop w:val="0"/>
          <w:marBottom w:val="0"/>
          <w:divBdr>
            <w:top w:val="none" w:sz="0" w:space="0" w:color="auto"/>
            <w:left w:val="none" w:sz="0" w:space="0" w:color="auto"/>
            <w:bottom w:val="none" w:sz="0" w:space="0" w:color="auto"/>
            <w:right w:val="none" w:sz="0" w:space="0" w:color="auto"/>
          </w:divBdr>
          <w:divsChild>
            <w:div w:id="166547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10187">
      <w:bodyDiv w:val="1"/>
      <w:marLeft w:val="0"/>
      <w:marRight w:val="0"/>
      <w:marTop w:val="0"/>
      <w:marBottom w:val="0"/>
      <w:divBdr>
        <w:top w:val="none" w:sz="0" w:space="0" w:color="auto"/>
        <w:left w:val="none" w:sz="0" w:space="0" w:color="auto"/>
        <w:bottom w:val="none" w:sz="0" w:space="0" w:color="auto"/>
        <w:right w:val="none" w:sz="0" w:space="0" w:color="auto"/>
      </w:divBdr>
      <w:divsChild>
        <w:div w:id="464352701">
          <w:marLeft w:val="0"/>
          <w:marRight w:val="0"/>
          <w:marTop w:val="0"/>
          <w:marBottom w:val="0"/>
          <w:divBdr>
            <w:top w:val="none" w:sz="0" w:space="0" w:color="auto"/>
            <w:left w:val="none" w:sz="0" w:space="0" w:color="auto"/>
            <w:bottom w:val="none" w:sz="0" w:space="0" w:color="auto"/>
            <w:right w:val="none" w:sz="0" w:space="0" w:color="auto"/>
          </w:divBdr>
        </w:div>
        <w:div w:id="1872188799">
          <w:marLeft w:val="0"/>
          <w:marRight w:val="0"/>
          <w:marTop w:val="0"/>
          <w:marBottom w:val="0"/>
          <w:divBdr>
            <w:top w:val="none" w:sz="0" w:space="0" w:color="auto"/>
            <w:left w:val="none" w:sz="0" w:space="0" w:color="auto"/>
            <w:bottom w:val="none" w:sz="0" w:space="0" w:color="auto"/>
            <w:right w:val="none" w:sz="0" w:space="0" w:color="auto"/>
          </w:divBdr>
        </w:div>
      </w:divsChild>
    </w:div>
    <w:div w:id="209141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erformance.gov/trusted-workforce/" TargetMode="External"/><Relationship Id="rId18" Type="http://schemas.openxmlformats.org/officeDocument/2006/relationships/hyperlink" Target="https://chcoc.gov/sites/default/files/Memo_Assessing%20Suitability%20on%20Basis%20of%20Marijuana%20Use_0_QA_05.24.2022_508_0.pdf" TargetMode="External"/><Relationship Id="rId26" Type="http://schemas.openxmlformats.org/officeDocument/2006/relationships/hyperlink" Target="https://www.opm.gov/suitability/suitability-executive-agent/suitability-adjudications/" TargetMode="External"/><Relationship Id="rId39" Type="http://schemas.openxmlformats.org/officeDocument/2006/relationships/theme" Target="theme/theme1.xml"/><Relationship Id="rId21" Type="http://schemas.openxmlformats.org/officeDocument/2006/relationships/hyperlink" Target="https://ope.ed.gov/dapip/" TargetMode="External"/><Relationship Id="rId34" Type="http://schemas.openxmlformats.org/officeDocument/2006/relationships/hyperlink" Target="mailto:SuitEAtraining@opm.gov" TargetMode="External"/><Relationship Id="rId7" Type="http://schemas.openxmlformats.org/officeDocument/2006/relationships/settings" Target="settings.xml"/><Relationship Id="rId12" Type="http://schemas.openxmlformats.org/officeDocument/2006/relationships/hyperlink" Target="http://www.archives.gov/" TargetMode="External"/><Relationship Id="rId17" Type="http://schemas.openxmlformats.org/officeDocument/2006/relationships/hyperlink" Target="https://www.opm.gov/suitability/" TargetMode="External"/><Relationship Id="rId25" Type="http://schemas.openxmlformats.org/officeDocument/2006/relationships/image" Target="media/image6.png"/><Relationship Id="rId33" Type="http://schemas.openxmlformats.org/officeDocument/2006/relationships/hyperlink" Target="mailto:CredEA@opm.gov"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law.cornell.edu/definitions/index.php?width=840&amp;height=800&amp;iframe=true&amp;def_id=bccac9c87b8ca117db27c3bf505405d1&amp;term_occur=2&amp;term_src=Title:5:Chapter:I:Subchapter:B:Part:731:Subpart:A:731.103" TargetMode="External"/><Relationship Id="rId29" Type="http://schemas.openxmlformats.org/officeDocument/2006/relationships/hyperlink" Target="https://www.chcoc.gov/content/guidance-requests-exceptions-timing-suitability-inquiries-ru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32" Type="http://schemas.openxmlformats.org/officeDocument/2006/relationships/hyperlink" Target="mailto:SuitEA@opm.gov" TargetMode="External"/><Relationship Id="rId37" Type="http://schemas.openxmlformats.org/officeDocument/2006/relationships/footer" Target="footer1.xml"/><Relationship Id="rId40"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4.png"/><Relationship Id="rId28" Type="http://schemas.openxmlformats.org/officeDocument/2006/relationships/hyperlink" Target="https://www.chcoc.gov/content/issuance-regulations-fair-chance-compete-jobs-act-2019-guidance-restrictions-preemployment"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samhsa.gov/sites/default/files/workplace/hemp-products-csap-memo-072419.pdf" TargetMode="External"/><Relationship Id="rId31" Type="http://schemas.openxmlformats.org/officeDocument/2006/relationships/hyperlink" Target="http://www.consumer.ftc.gov/articles/pdf-0096-fair-credit-reporting-ac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dt.nbis.mil/" TargetMode="External"/><Relationship Id="rId22" Type="http://schemas.openxmlformats.org/officeDocument/2006/relationships/hyperlink" Target="https://chcoc.gov/sites/default/files/Memo_Assessing%20Suitability%20on%20Basis%20of%20Marijuana%20Use_0_QA_05.24.2022_508_0.pdf" TargetMode="External"/><Relationship Id="rId27" Type="http://schemas.openxmlformats.org/officeDocument/2006/relationships/hyperlink" Target="https://www.chcoc.gov/content/issuance-regulations-fair-chance-compete-jobs-act-2019-guidance-restrictions-preemployment" TargetMode="External"/><Relationship Id="rId30" Type="http://schemas.openxmlformats.org/officeDocument/2006/relationships/hyperlink" Target="https://www.foia.gov/"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mspb.gov/decisions/precedential/SCOTT_JAMES_A_CH_0731_09_0578_R_1_OPINION_AND_ORDER_696768.pdf" TargetMode="External"/><Relationship Id="rId2" Type="http://schemas.openxmlformats.org/officeDocument/2006/relationships/hyperlink" Target="https://www.dcsa.mil/Systems-Applications/National-Background-Investigation-Services-NBIS/" TargetMode="External"/><Relationship Id="rId1" Type="http://schemas.openxmlformats.org/officeDocument/2006/relationships/hyperlink" Target="https://www.federalregister.gov/documents/2021/01/13/2021-00547/federal-personnel-vetting-core-doctr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BAB7CE8AF9A49B3351CA9A75E25FA" ma:contentTypeVersion="32" ma:contentTypeDescription="Create a new document." ma:contentTypeScope="" ma:versionID="b19392e45ee739e71b774c21480c9f3f">
  <xsd:schema xmlns:xsd="http://www.w3.org/2001/XMLSchema" xmlns:xs="http://www.w3.org/2001/XMLSchema" xmlns:p="http://schemas.microsoft.com/office/2006/metadata/properties" xmlns:ns2="9cf51d2b-56f6-4983-99f4-057d0b559f20" xmlns:ns3="59e45611-80b6-434b-9ebd-7b30c8d2526e" targetNamespace="http://schemas.microsoft.com/office/2006/metadata/properties" ma:root="true" ma:fieldsID="4b5b0f1b1e37739b06fbef3b7a454e4f" ns2:_="" ns3:_="">
    <xsd:import namespace="9cf51d2b-56f6-4983-99f4-057d0b559f20"/>
    <xsd:import namespace="59e45611-80b6-434b-9ebd-7b30c8d252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51d2b-56f6-4983-99f4-057d0b559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59d6a30-35d4-4125-9895-745589be728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e45611-80b6-434b-9ebd-7b30c8d2526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7fcb6ed-0aac-4e66-a0be-43481a647218}" ma:internalName="TaxCatchAll" ma:showField="CatchAllData" ma:web="59e45611-80b6-434b-9ebd-7b30c8d252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f51d2b-56f6-4983-99f4-057d0b559f20">
      <Terms xmlns="http://schemas.microsoft.com/office/infopath/2007/PartnerControls"/>
    </lcf76f155ced4ddcb4097134ff3c332f>
    <TaxCatchAll xmlns="59e45611-80b6-434b-9ebd-7b30c8d2526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Exe17</b:Tag>
    <b:SourceType>ElectronicSource</b:SourceType>
    <b:Guid>{304D531A-E1EA-43C0-A6EF-3CB76F992565}</b:Guid>
    <b:Title>Amending the Civil Service Rules, Executive Order 13488, and Executive Order 13467 To Modernize the Executive Branch-Wide Governance Structure and Processes for Security Clearances, Suitability and Fitness for Employment, and Credentialing, and Related Ma</b:Title>
    <b:Year>2017</b:Year>
    <b:City>Washington</b:City>
    <b:Author>
      <b:Author>
        <b:Corporate>Executive Office of the President</b:Corporate>
      </b:Author>
    </b:Author>
    <b:StateProvince>DC</b:StateProvince>
    <b:CountryRegion>United States of America</b:CountryRegion>
    <b:Month>January</b:Month>
    <b:Day>23</b:Day>
    <b:URL>https://www.govinfo.gov/content/pkg/FR-2017-01-23/pdf/2017-01623.pdf</b:URL>
    <b:RefOrder>1</b:RefOrder>
  </b:Source>
  <b:Source>
    <b:Tag>Off24</b:Tag>
    <b:SourceType>DocumentFromInternetSite</b:SourceType>
    <b:Guid>{8A6CC7C8-1255-4CD6-9B3F-B98CB70AF4EF}</b:Guid>
    <b:Title>Director of National Intelligence</b:Title>
    <b:Year>2024</b:Year>
    <b:Month>July</b:Month>
    <b:Day>23</b:Day>
    <b:Author>
      <b:Author>
        <b:Corporate>Office of the Director of National Intelligence &amp; Office of Personnel Management</b:Corporate>
      </b:Author>
    </b:Author>
    <b:URL>https://www.dni.gov/files/NCSC/documents/Regulations/Federal_Personnel_Vetting_Management_Standards_23AUG2024.pdf</b:URL>
    <b:RefOrder>2</b:RefOrder>
  </b:Source>
  <b:Source>
    <b:Tag>Off17</b:Tag>
    <b:SourceType>ElectronicSource</b:SourceType>
    <b:Guid>{4B2E9EF1-65DF-420D-BC79-70B6F17064CF}</b:Guid>
    <b:Title>§ 1400.102 Definitions and Applicability</b:Title>
    <b:Year>2017</b:Year>
    <b:Month>January</b:Month>
    <b:Day>3</b:Day>
    <b:URL>https://www.ecfr.gov/current/title-5/chapter-IV/part-1400/subpart-A/section-1400.102</b:URL>
    <b:City>Washington</b:City>
    <b:StateProvince>DC</b:StateProvince>
    <b:CountryRegion>United States of America</b:CountryRegion>
    <b:Author>
      <b:Author>
        <b:Corporate>Office of Director of National Intelligence &amp; Office of Personnel Management</b:Corporate>
      </b:Author>
    </b:Author>
    <b:Publisher>Code of Federal Regulations</b:Publisher>
    <b:RefOrder>3</b:RefOrder>
  </b:Source>
</b:Sources>
</file>

<file path=customXml/itemProps1.xml><?xml version="1.0" encoding="utf-8"?>
<ds:datastoreItem xmlns:ds="http://schemas.openxmlformats.org/officeDocument/2006/customXml" ds:itemID="{52E7E54A-74A1-4DC6-A851-5864F3EF8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51d2b-56f6-4983-99f4-057d0b559f20"/>
    <ds:schemaRef ds:uri="59e45611-80b6-434b-9ebd-7b30c8d25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42161D-F14A-413F-9E1E-E31C8A4FA391}">
  <ds:schemaRefs>
    <ds:schemaRef ds:uri="http://schemas.microsoft.com/sharepoint/v3/contenttype/forms"/>
  </ds:schemaRefs>
</ds:datastoreItem>
</file>

<file path=customXml/itemProps3.xml><?xml version="1.0" encoding="utf-8"?>
<ds:datastoreItem xmlns:ds="http://schemas.openxmlformats.org/officeDocument/2006/customXml" ds:itemID="{E5541BDB-CB71-496B-A561-548E33364CE9}">
  <ds:schemaRefs>
    <ds:schemaRef ds:uri="http://schemas.microsoft.com/office/2006/metadata/properties"/>
    <ds:schemaRef ds:uri="http://schemas.microsoft.com/office/infopath/2007/PartnerControls"/>
    <ds:schemaRef ds:uri="9cf51d2b-56f6-4983-99f4-057d0b559f20"/>
    <ds:schemaRef ds:uri="59e45611-80b6-434b-9ebd-7b30c8d2526e"/>
  </ds:schemaRefs>
</ds:datastoreItem>
</file>

<file path=customXml/itemProps4.xml><?xml version="1.0" encoding="utf-8"?>
<ds:datastoreItem xmlns:ds="http://schemas.openxmlformats.org/officeDocument/2006/customXml" ds:itemID="{BA0DD1AC-5A71-4D91-9512-1D7F20213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88</Pages>
  <Words>28577</Words>
  <Characters>162895</Characters>
  <Application>Microsoft Office Word</Application>
  <DocSecurity>8</DocSecurity>
  <Lines>1357</Lines>
  <Paragraphs>382</Paragraphs>
  <ScaleCrop>false</ScaleCrop>
  <HeadingPairs>
    <vt:vector size="2" baseType="variant">
      <vt:variant>
        <vt:lpstr>Title</vt:lpstr>
      </vt:variant>
      <vt:variant>
        <vt:i4>1</vt:i4>
      </vt:variant>
    </vt:vector>
  </HeadingPairs>
  <TitlesOfParts>
    <vt:vector size="1" baseType="lpstr">
      <vt:lpstr>Draft OPM Report Template</vt:lpstr>
    </vt:vector>
  </TitlesOfParts>
  <Company/>
  <LinksUpToDate>false</LinksUpToDate>
  <CharactersWithSpaces>191090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OPM Report Template</dc:title>
  <dc:subject/>
  <dc:creator>Office of Communications</dc:creator>
  <cp:keywords/>
  <dc:description/>
  <cp:lastModifiedBy>Bilunka, Christine L</cp:lastModifiedBy>
  <cp:revision>8</cp:revision>
  <dcterms:created xsi:type="dcterms:W3CDTF">2025-01-16T16:35:00Z</dcterms:created>
  <dcterms:modified xsi:type="dcterms:W3CDTF">2025-01-17T16:09:00Z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0x0101009E4BAB7CE8AF9A49B3351CA9A75E25FA</vt:lpwstr>
  </property>
  <property fmtid="{D5CDD505-2E9C-101B-9397-08002B2CF9AE}" pid="3" name="MediaServiceImageTags">
    <vt:lpwstr/>
  </property>
</Properties>
</file>